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widowControl/>
      </w:pPr>
      <w:r>
        <w:rPr>
          <w:rFonts w:ascii="Arial" w:hAnsi="Arial"/>
          <w:b/>
          <w:color w:val="000000"/>
          <w:sz w:val="16"/>
        </w:rPr>
        <w:t>GLASS TECH / CUSTOMER PROJECT DOCUMENT</w:t>
      </w:r>
    </w:p>
    <w:p>
      <w:pPr>
        <w:keepNext/>
        <w:widowControl/>
      </w:pPr>
      <w:r>
        <w:rPr>
          <w:rFonts w:ascii="Arial" w:hAnsi="Arial"/>
          <w:b/>
          <w:color w:val="000000"/>
          <w:sz w:val="40"/>
        </w:rPr>
        <w:t>Project change order</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This change order modifies only the identified items in the existing agreement. Describe the trigger and attach revised drawings, quantities, equipment and acceptance tests as applicable. The original agreement remains in effect for unchanged items.</w:t>
      </w:r>
    </w:p>
    <w:p>
      <w:pPr>
        <w:keepNext w:val="0"/>
        <w:widowControl/>
      </w:pPr>
      <w:r>
        <w:rPr>
          <w:rFonts w:ascii="Arial" w:hAnsi="Arial"/>
          <w:b w:val="0"/>
          <w:color w:val="000000"/>
          <w:sz w:val="18"/>
        </w:rPr>
        <w:t>Identify added and removed work separately, including credits. Show labor/material/equipment changes, delivery/access, tax, total increase or decrease, revised project total and any deposit/balance adjustment. A changed ceiling, route or device count is not automatically authorized by a verbal field request.</w:t>
      </w:r>
    </w:p>
    <w:p>
      <w:pPr>
        <w:keepNext w:val="0"/>
        <w:widowControl/>
      </w:pPr>
      <w:r>
        <w:rPr>
          <w:rFonts w:ascii="Arial" w:hAnsi="Arial"/>
          <w:b w:val="0"/>
          <w:color w:val="000000"/>
          <w:sz w:val="18"/>
        </w:rPr>
        <w:t>Record schedule effects, dependencies, outage requirements and revised test/acceptance criteria. Additional work begins after the authorized parties approve this change, except separately documented emergency authorization within its stated limits.</w:t>
      </w:r>
    </w:p>
    <w:p>
      <w:pPr>
        <w:keepNext/>
        <w:widowControl/>
      </w:pPr>
      <w:r>
        <w:rPr>
          <w:rFonts w:ascii="Arial" w:hAnsi="Arial"/>
          <w:b/>
          <w:color w:val="000000"/>
          <w:sz w:val="17"/>
        </w:rPr>
        <w:t>Project / original agreement revision / change number / date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Reason and changed work / drawing-BOM revision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Added quantities and price / removed quantities and credit</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Tax change / net change / revised total / payment adjustment</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Schedule and outage effect / revised acceptance criteria</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Customer authorized signature / name / title / date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GHT authorized signature / name / title / date</w:t>
      </w:r>
    </w:p>
    <w:p>
      <w:pPr>
        <w:keepNext w:val="0"/>
        <w:widowControl/>
      </w:pPr>
      <w:r>
        <w:rPr>
          <w:rFonts w:ascii="Arial" w:hAnsi="Arial"/>
          <w:b w:val="0"/>
          <w:color w:val="000000"/>
          <w:sz w:val="18"/>
        </w:rPr>
        <w:t>________________________________________________________________________________</w:t>
      </w:r>
    </w:p>
    <w:sectPr w:rsidR="00681A4F" w:rsidSect="00034616">
      <w:headerReference w:type="default" r:id="rId8"/>
      <w:footerReference w:type="default" r:id="rId9"/>
      <w:pgSz w:w="12240" w:h="15840"/>
      <w:pgMar w:top="1584" w:right="1080" w:bottom="936" w:left="1080"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p>
    <w:pPr>
      <w:spacing w:after="0"/>
      <w:jc w:val="right"/>
    </w:pPr>
    <w:r>
      <w:rPr>
        <w:sz w:val="14"/>
      </w:rPr>
      <w:t xml:space="preserve">Page </w:t>
    </w:r>
    <w:fldSimple w:instr="PAGE"/>
    <w:r>
      <w:rPr>
        <w:sz w:val="14"/>
      </w:rPr>
      <w:t xml:space="preserve"> / </w:t>
    </w:r>
    <w:fldSimple w:instr="NUMPAGE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color w:val="2B2A27"/>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change order</dc:title>
  <dc:subject>Implementation standard 2026.09.08-1</dc:subject>
  <dc:creator>Glass House Technologies LLC</dc:creator>
  <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