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widowControl/>
      </w:pPr>
      <w:r>
        <w:rPr>
          <w:rFonts w:ascii="Arial" w:hAnsi="Arial"/>
          <w:b/>
          <w:color w:val="000000"/>
          <w:sz w:val="16"/>
        </w:rPr>
        <w:t>GLASS TECH / CUSTOMER PROJECT DOCUMENT</w:t>
      </w:r>
    </w:p>
    <w:p>
      <w:pPr>
        <w:keepNext/>
        <w:widowControl/>
      </w:pPr>
      <w:r>
        <w:rPr>
          <w:rFonts w:ascii="Arial" w:hAnsi="Arial"/>
          <w:b/>
          <w:color w:val="000000"/>
          <w:sz w:val="40"/>
        </w:rPr>
        <w:t>AI scope, data and implementation</w:t>
      </w:r>
    </w:p>
    <w:p>
      <w:pPr>
        <w:keepNext w:val="0"/>
        <w:widowControl/>
      </w:pPr>
      <w:r>
        <w:rPr>
          <w:rFonts w:ascii="Arial" w:hAnsi="Arial"/>
          <w:b w:val="0"/>
          <w:color w:val="000000"/>
          <w:sz w:val="16"/>
        </w:rPr>
        <w:t>GHT • Revision 2026.09.08-1 • 8 September 2026 • Complete project fields before signature</w:t>
      </w:r>
    </w:p>
    <w:p>
      <w:pPr>
        <w:keepNext w:val="0"/>
        <w:widowControl/>
      </w:pPr>
      <w:r>
        <w:rPr>
          <w:rFonts w:ascii="Arial" w:hAnsi="Arial"/>
          <w:b w:val="0"/>
          <w:color w:val="000000"/>
          <w:sz w:val="18"/>
        </w:rPr>
        <w:t>This addendum defines the approved internal AI use case, data sources, hosting and operating boundaries. Company-document retrieval, model fine-tuning and business-system automation are separate scope choices. A local deployment does not automatically make every data flow private or every answer correct.</w:t>
      </w:r>
    </w:p>
    <w:p>
      <w:pPr>
        <w:keepNext w:val="0"/>
        <w:widowControl/>
      </w:pPr>
      <w:r>
        <w:rPr>
          <w:rFonts w:ascii="Arial" w:hAnsi="Arial"/>
          <w:b w:val="0"/>
          <w:color w:val="000000"/>
          <w:sz w:val="18"/>
        </w:rPr>
        <w:t>Identify the model/version/license, hardware/compute configuration, interfaces and integrations. Separate hardware, implementation, subscriptions/consumption, data cleanup and optional training costs. Timing depends on approved scope, usable authorized data, access and hardware availability.</w:t>
      </w:r>
    </w:p>
    <w:p>
      <w:pPr>
        <w:keepNext w:val="0"/>
        <w:widowControl/>
      </w:pPr>
      <w:r>
        <w:rPr>
          <w:rFonts w:ascii="Arial" w:hAnsi="Arial"/>
          <w:b w:val="0"/>
          <w:color w:val="000000"/>
          <w:sz w:val="18"/>
        </w:rPr>
        <w:t>List permitted datasets, data owners, user roles, source permissions, refresh/deletion behavior and retention. Specify where prompts, documents, embeddings, logs and backups reside and which outbound services are allowed. The customer confirms authority to provide the data; additional regulated or sensitive-data obligations require explicit review.</w:t>
      </w:r>
    </w:p>
    <w:p>
      <w:pPr>
        <w:keepNext w:val="0"/>
        <w:widowControl/>
      </w:pPr>
      <w:r>
        <w:rPr>
          <w:rFonts w:ascii="Arial" w:hAnsi="Arial"/>
          <w:b w:val="0"/>
          <w:color w:val="000000"/>
          <w:sz w:val="18"/>
        </w:rPr>
        <w:t>Define tool permissions and required human approvals. The system must not receive authority to spend, publish, alter production records or expose information beyond the approved use case merely because it can generate instructions.</w:t>
      </w:r>
    </w:p>
    <w:p>
      <w:pPr>
        <w:keepNext/>
        <w:widowControl/>
      </w:pPr>
      <w:r>
        <w:rPr>
          <w:rFonts w:ascii="Arial" w:hAnsi="Arial"/>
          <w:b/>
          <w:color w:val="000000"/>
          <w:sz w:val="17"/>
        </w:rPr>
        <w:t>Project / use case / business owner / permitted users</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Model-version-license / retrieval or training scope</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Exact compute-storage-network BOM / hosting location</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Approved sources / data owners / permissions / retention</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Outbound services / logs-backups / source deletion process</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Hardware / deployment / recurring-consumption budget</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Milestones / readiness dependencies / prohibited actions</w:t>
      </w:r>
    </w:p>
    <w:p>
      <w:pPr>
        <w:keepNext w:val="0"/>
        <w:widowControl/>
      </w:pPr>
      <w:r>
        <w:rPr>
          <w:rFonts w:ascii="Arial" w:hAnsi="Arial"/>
          <w:b w:val="0"/>
          <w:color w:val="000000"/>
          <w:sz w:val="18"/>
        </w:rPr>
        <w:t>________________________________________________________________________________</w:t>
      </w:r>
    </w:p>
    <w:p>
      <w:r>
        <w:br w:type="page"/>
      </w:r>
    </w:p>
    <w:p>
      <w:pPr>
        <w:keepNext/>
        <w:widowControl/>
      </w:pPr>
      <w:r>
        <w:rPr>
          <w:rFonts w:ascii="Arial" w:hAnsi="Arial"/>
          <w:b/>
          <w:color w:val="000000"/>
          <w:sz w:val="16"/>
        </w:rPr>
        <w:t>GLASS TECH / CUSTOMER PROJECT DOCUMENT</w:t>
      </w:r>
    </w:p>
    <w:p>
      <w:pPr>
        <w:keepNext/>
        <w:widowControl/>
      </w:pPr>
      <w:r>
        <w:rPr>
          <w:rFonts w:ascii="Arial" w:hAnsi="Arial"/>
          <w:b/>
          <w:color w:val="000000"/>
          <w:sz w:val="40"/>
        </w:rPr>
        <w:t>AI evaluation, release and support</w:t>
      </w:r>
    </w:p>
    <w:p>
      <w:pPr>
        <w:keepNext w:val="0"/>
        <w:widowControl/>
      </w:pPr>
      <w:r>
        <w:rPr>
          <w:rFonts w:ascii="Arial" w:hAnsi="Arial"/>
          <w:b w:val="0"/>
          <w:color w:val="000000"/>
          <w:sz w:val="16"/>
        </w:rPr>
        <w:t>GHT • Revision 2026.09.08-1 • 8 September 2026 • Complete project fields before signature</w:t>
      </w:r>
    </w:p>
    <w:p>
      <w:pPr>
        <w:keepNext w:val="0"/>
        <w:widowControl/>
      </w:pPr>
      <w:r>
        <w:rPr>
          <w:rFonts w:ascii="Arial" w:hAnsi="Arial"/>
          <w:b w:val="0"/>
          <w:color w:val="000000"/>
          <w:sz w:val="18"/>
        </w:rPr>
        <w:t>Agree a held-out evaluation set and measurable thresholds before release. Record expected answers/source references, allowed and denied retrieval by role, revoked-access behavior, malicious-document/prompt-injection cases, unsupported-answer handling and tool-approval boundaries.</w:t>
      </w:r>
    </w:p>
    <w:p>
      <w:pPr>
        <w:keepNext w:val="0"/>
        <w:widowControl/>
      </w:pPr>
      <w:r>
        <w:rPr>
          <w:rFonts w:ascii="Arial" w:hAnsi="Arial"/>
          <w:b w:val="0"/>
          <w:color w:val="000000"/>
          <w:sz w:val="18"/>
        </w:rPr>
        <w:t>Measure task quality, citation accuracy, latency, concurrent use and operating cost under the representative workload. A benchmark score from another environment is not acceptance evidence for this deployment. Record the exact model, prompt, retrieval and dataset versions used in testing.</w:t>
      </w:r>
    </w:p>
    <w:p>
      <w:pPr>
        <w:keepNext w:val="0"/>
        <w:widowControl/>
      </w:pPr>
      <w:r>
        <w:rPr>
          <w:rFonts w:ascii="Arial" w:hAnsi="Arial"/>
          <w:b w:val="0"/>
          <w:color w:val="000000"/>
          <w:sz w:val="18"/>
        </w:rPr>
        <w:t>Define release authority, rollback criteria, backup/restore, monitoring, update testing and support responsibility. Changes to model, data permissions, tools or integrations require proportionate regression testing. Train users on verification and escalation for uncertain or consequential outputs.</w:t>
      </w:r>
    </w:p>
    <w:p>
      <w:pPr>
        <w:keepNext w:val="0"/>
        <w:widowControl/>
      </w:pPr>
      <w:r>
        <w:rPr>
          <w:rFonts w:ascii="Arial" w:hAnsi="Arial"/>
          <w:b w:val="0"/>
          <w:color w:val="000000"/>
          <w:sz w:val="18"/>
        </w:rPr>
        <w:t>By signing the completed addendum, the parties accept the stated scope, cost, data permissions and measurable release criteria. Deployment acceptance is documented after testing; this signature does not certify tests that have not yet run.</w:t>
      </w:r>
    </w:p>
    <w:p>
      <w:pPr>
        <w:keepNext/>
        <w:widowControl/>
      </w:pPr>
      <w:r>
        <w:rPr>
          <w:rFonts w:ascii="Arial" w:hAnsi="Arial"/>
          <w:b/>
          <w:color w:val="000000"/>
          <w:sz w:val="17"/>
        </w:rPr>
        <w:t>Evaluation dataset/version / task-quality-citation thresholds</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Role isolation / revocation / malicious-input / tool tests</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Latency / concurrency / cost thresholds and test method</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Release owner / rollback conditions / recovery test</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Monitoring / update testing / support-data responsibilities</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Customer signature / name / title / date</w:t>
      </w:r>
    </w:p>
    <w:p>
      <w:pPr>
        <w:keepNext w:val="0"/>
        <w:widowControl/>
      </w:pPr>
      <w:r>
        <w:rPr>
          <w:rFonts w:ascii="Arial" w:hAnsi="Arial"/>
          <w:b w:val="0"/>
          <w:color w:val="000000"/>
          <w:sz w:val="18"/>
        </w:rPr>
        <w:t>________________________________________________________________________________</w:t>
      </w:r>
    </w:p>
    <w:p>
      <w:pPr>
        <w:keepNext/>
        <w:widowControl/>
      </w:pPr>
      <w:r>
        <w:rPr>
          <w:rFonts w:ascii="Arial" w:hAnsi="Arial"/>
          <w:b/>
          <w:color w:val="000000"/>
          <w:sz w:val="17"/>
        </w:rPr>
        <w:t>GHT signature / name / title / date</w:t>
      </w:r>
    </w:p>
    <w:p>
      <w:pPr>
        <w:keepNext w:val="0"/>
        <w:widowControl/>
      </w:pPr>
      <w:r>
        <w:rPr>
          <w:rFonts w:ascii="Arial" w:hAnsi="Arial"/>
          <w:b w:val="0"/>
          <w:color w:val="000000"/>
          <w:sz w:val="18"/>
        </w:rPr>
        <w:t>________________________________________________________________________________</w:t>
      </w:r>
    </w:p>
    <w:sectPr w:rsidR="00681A4F" w:rsidSect="00034616">
      <w:headerReference w:type="default" r:id="rId8"/>
      <w:footerReference w:type="default" r:id="rId9"/>
      <w:pgSz w:w="12240" w:h="15840"/>
      <w:pgMar w:top="1584" w:right="1080" w:bottom="936" w:left="1080"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p>
    <w:pPr>
      <w:spacing w:after="0"/>
      <w:jc w:val="right"/>
    </w:pPr>
    <w:r>
      <w:rPr>
        <w:sz w:val="14"/>
      </w:rPr>
      <w:t xml:space="preserve">Page </w:t>
    </w:r>
    <w:fldSimple w:instr="PAGE"/>
    <w:r>
      <w:rPr>
        <w:sz w:val="14"/>
      </w:rPr>
      <w:t xml:space="preserve"> / </w:t>
    </w:r>
    <w:fldSimple w:instr="NUMPAGE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rial" w:hAnsi="Arial"/>
      <w:color w:val="2B2A27"/>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Company-specific internal AI addendum</dc:title>
  <dc:subject>Implementation standard 2026.09.08-1</dc:subject>
  <dc:creator>Glass House Technologies LLC</dc:creator>
  <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