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Access control</w:t>
      </w:r>
    </w:p>
    <w:p>
      <w:pPr>
        <w:keepNext w:val="0"/>
        <w:spacing w:before="0" w:after="240" w:line="269" w:lineRule="auto"/>
      </w:pPr>
      <w:r>
        <w:rPr>
          <w:rFonts w:ascii="Arial" w:hAnsi="Arial"/>
          <w:b w:val="0"/>
          <w:color w:val="646464"/>
          <w:sz w:val="17"/>
        </w:rPr>
        <w:t>GHT-SVC-019   •   Revision 1.0   •   06 September 2026   •   1 / 3</w:t>
      </w:r>
    </w:p>
    <w:p>
      <w:pPr>
        <w:keepNext w:val="0"/>
        <w:spacing w:before="0" w:after="180" w:line="269" w:lineRule="auto"/>
      </w:pPr>
      <w:r>
        <w:rPr>
          <w:rFonts w:ascii="Arial" w:hAnsi="Arial"/>
          <w:b w:val="0"/>
          <w:color w:val="181818"/>
          <w:sz w:val="22"/>
        </w:rPr>
        <w:t>Credentials, readers, controllers, locks, door contacts, request-to-exit devices, schedules, power, network, and administrator policy, with project-specific door-hardware and life-safety review.</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Controlled openings with tested credential, schedule, door-position, power-loss, network-loss, and approved emergency behavior.</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An access-controlled opening is more than a reader. It includes the door, frame, latch or lock, closer, hinges, power transfer, egress hardware, door contact, request-to-exit method, controller, power supply, network path, credentials, schedules, and event policy.</w:t>
      </w:r>
    </w:p>
    <w:p>
      <w:pPr>
        <w:keepNext w:val="0"/>
        <w:spacing w:before="0" w:after="120" w:line="269" w:lineRule="auto"/>
      </w:pPr>
      <w:r>
        <w:rPr>
          <w:rFonts w:ascii="Arial" w:hAnsi="Arial"/>
          <w:b w:val="0"/>
          <w:color w:val="181818"/>
          <w:sz w:val="20"/>
        </w:rPr>
        <w:t>A qualified door-hardware and life-safety review may be required. The authority having jurisdiction, fire-alarm contractor, architect, or hardware specialist determines applicable requirements; an integrator should not replace that review with a generic wiring assumption.</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Opening</w:t>
            </w:r>
          </w:p>
        </w:tc>
        <w:tc>
          <w:tcPr>
            <w:tcW w:type="dxa" w:w="7200"/>
            <w:shd w:fill="F4F1E9"/>
          </w:tcPr>
          <w:p>
            <w:pPr>
              <w:spacing w:before="100" w:after="100"/>
            </w:pPr>
            <w:r>
              <w:rPr>
                <w:rFonts w:ascii="Arial" w:hAnsi="Arial"/>
                <w:sz w:val="18"/>
              </w:rPr>
              <w:t>Door, frame, lock, closer, egress, contact, request to exit</w:t>
            </w:r>
          </w:p>
        </w:tc>
      </w:tr>
      <w:tr>
        <w:tc>
          <w:tcPr>
            <w:tcW w:type="dxa" w:w="2160"/>
            <w:shd w:fill="FFFFFF"/>
          </w:tcPr>
          <w:p>
            <w:pPr>
              <w:spacing w:before="100" w:after="100"/>
            </w:pPr>
            <w:r>
              <w:rPr>
                <w:rFonts w:ascii="Arial" w:hAnsi="Arial"/>
                <w:b/>
                <w:sz w:val="18"/>
              </w:rPr>
              <w:t>02  Field control</w:t>
            </w:r>
          </w:p>
        </w:tc>
        <w:tc>
          <w:tcPr>
            <w:tcW w:type="dxa" w:w="7200"/>
            <w:shd w:fill="FFFFFF"/>
          </w:tcPr>
          <w:p>
            <w:pPr>
              <w:spacing w:before="100" w:after="100"/>
            </w:pPr>
            <w:r>
              <w:rPr>
                <w:rFonts w:ascii="Arial" w:hAnsi="Arial"/>
                <w:sz w:val="18"/>
              </w:rPr>
              <w:t>Reader, controller, supervised inputs, relays, protected power</w:t>
            </w:r>
          </w:p>
        </w:tc>
      </w:tr>
      <w:tr>
        <w:tc>
          <w:tcPr>
            <w:tcW w:type="dxa" w:w="2160"/>
            <w:shd w:fill="F4F1E9"/>
          </w:tcPr>
          <w:p>
            <w:pPr>
              <w:spacing w:before="100" w:after="100"/>
            </w:pPr>
            <w:r>
              <w:rPr>
                <w:rFonts w:ascii="Arial" w:hAnsi="Arial"/>
                <w:b/>
                <w:sz w:val="18"/>
              </w:rPr>
              <w:t>03  Platform</w:t>
            </w:r>
          </w:p>
        </w:tc>
        <w:tc>
          <w:tcPr>
            <w:tcW w:type="dxa" w:w="7200"/>
            <w:shd w:fill="F4F1E9"/>
          </w:tcPr>
          <w:p>
            <w:pPr>
              <w:spacing w:before="100" w:after="100"/>
            </w:pPr>
            <w:r>
              <w:rPr>
                <w:rFonts w:ascii="Arial" w:hAnsi="Arial"/>
                <w:sz w:val="18"/>
              </w:rPr>
              <w:t>Identity, credentials, groups, schedules, events, audit trail</w:t>
            </w:r>
          </w:p>
        </w:tc>
      </w:tr>
      <w:tr>
        <w:tc>
          <w:tcPr>
            <w:tcW w:type="dxa" w:w="2160"/>
            <w:shd w:fill="FFFFFF"/>
          </w:tcPr>
          <w:p>
            <w:pPr>
              <w:spacing w:before="100" w:after="100"/>
            </w:pPr>
            <w:r>
              <w:rPr>
                <w:rFonts w:ascii="Arial" w:hAnsi="Arial"/>
                <w:b/>
                <w:sz w:val="18"/>
              </w:rPr>
              <w:t>04  Interfaces</w:t>
            </w:r>
          </w:p>
        </w:tc>
        <w:tc>
          <w:tcPr>
            <w:tcW w:type="dxa" w:w="7200"/>
            <w:shd w:fill="FFFFFF"/>
          </w:tcPr>
          <w:p>
            <w:pPr>
              <w:spacing w:before="100" w:after="100"/>
            </w:pPr>
            <w:r>
              <w:rPr>
                <w:rFonts w:ascii="Arial" w:hAnsi="Arial"/>
                <w:sz w:val="18"/>
              </w:rPr>
              <w:t>Fire alarm, elevator, gate, intercom, video, visitor workflow</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Keys are difficult to recover or audit</w:t>
      </w:r>
    </w:p>
    <w:p>
      <w:pPr>
        <w:keepNext w:val="0"/>
        <w:spacing w:before="0" w:after="100" w:line="269" w:lineRule="auto"/>
        <w:ind w:left="187" w:hanging="187"/>
      </w:pPr>
      <w:r>
        <w:rPr>
          <w:rFonts w:ascii="Arial" w:hAnsi="Arial"/>
          <w:b w:val="0"/>
          <w:color w:val="181818"/>
          <w:sz w:val="20"/>
        </w:rPr>
        <w:t>•  Door events do not match the physical state of the opening</w:t>
      </w:r>
    </w:p>
    <w:p>
      <w:pPr>
        <w:keepNext w:val="0"/>
        <w:spacing w:before="0" w:after="100" w:line="269" w:lineRule="auto"/>
        <w:ind w:left="187" w:hanging="187"/>
      </w:pPr>
      <w:r>
        <w:rPr>
          <w:rFonts w:ascii="Arial" w:hAnsi="Arial"/>
          <w:b w:val="0"/>
          <w:color w:val="181818"/>
          <w:sz w:val="20"/>
        </w:rPr>
        <w:t>•  Multiple credential systems create inconsistent access</w:t>
      </w:r>
    </w:p>
    <w:p>
      <w:pPr>
        <w:keepNext w:val="0"/>
        <w:spacing w:before="0" w:after="100" w:line="269" w:lineRule="auto"/>
        <w:ind w:left="187" w:hanging="187"/>
      </w:pPr>
      <w:r>
        <w:rPr>
          <w:rFonts w:ascii="Arial" w:hAnsi="Arial"/>
          <w:b w:val="0"/>
          <w:color w:val="181818"/>
          <w:sz w:val="20"/>
        </w:rPr>
        <w:t>•  New tenant, department, restricted area, elevator, or gate workflows</w:t>
      </w:r>
    </w:p>
    <w:p>
      <w:r>
        <w:br w:type="page"/>
      </w:r>
    </w:p>
    <w:p>
      <w:pPr>
        <w:keepNext/>
        <w:spacing w:before="1200" w:after="160" w:line="269" w:lineRule="auto"/>
      </w:pPr>
      <w:r>
        <w:rPr>
          <w:rFonts w:ascii="Arial" w:hAnsi="Arial"/>
          <w:b/>
          <w:color w:val="9B792B"/>
          <w:sz w:val="18"/>
        </w:rPr>
        <w:t>GHT-SVC-019 / ACCESS CONTROL</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Survey the opening</w:t>
      </w:r>
    </w:p>
    <w:p>
      <w:pPr>
        <w:keepNext w:val="0"/>
        <w:spacing w:before="0" w:after="80" w:line="269" w:lineRule="auto"/>
      </w:pPr>
      <w:r>
        <w:rPr>
          <w:rFonts w:ascii="Arial" w:hAnsi="Arial"/>
          <w:b w:val="0"/>
          <w:color w:val="181818"/>
          <w:sz w:val="20"/>
        </w:rPr>
        <w:t>Document door and frame condition, hardware, egress, fire rating, power, pathway, network, accessibility, and current key or credential workflow.</w:t>
      </w:r>
    </w:p>
    <w:p>
      <w:pPr>
        <w:keepNext w:val="0"/>
        <w:spacing w:before="0" w:after="140" w:line="269" w:lineRule="auto"/>
      </w:pPr>
      <w:r>
        <w:rPr>
          <w:rFonts w:ascii="Arial" w:hAnsi="Arial"/>
          <w:b/>
          <w:color w:val="181818"/>
          <w:sz w:val="18"/>
        </w:rPr>
        <w:t>Acceptance evidence: Door-by-door survey with hardware photos, measurements, existing conditions, and issues requiring specialist or authority review.</w:t>
      </w:r>
    </w:p>
    <w:p>
      <w:pPr>
        <w:keepNext/>
        <w:spacing w:before="200" w:after="120" w:line="269" w:lineRule="auto"/>
      </w:pPr>
      <w:r>
        <w:rPr>
          <w:rFonts w:ascii="Arial" w:hAnsi="Arial"/>
          <w:b/>
          <w:color w:val="9B792B"/>
          <w:sz w:val="24"/>
        </w:rPr>
        <w:t>02  Define states and policy</w:t>
      </w:r>
    </w:p>
    <w:p>
      <w:pPr>
        <w:keepNext w:val="0"/>
        <w:spacing w:before="0" w:after="80" w:line="269" w:lineRule="auto"/>
      </w:pPr>
      <w:r>
        <w:rPr>
          <w:rFonts w:ascii="Arial" w:hAnsi="Arial"/>
          <w:b w:val="0"/>
          <w:color w:val="181818"/>
          <w:sz w:val="20"/>
        </w:rPr>
        <w:t>Map authorized groups, schedules, lock and unlock behavior, forced or held events, power loss, network loss, emergency interface, and credential lifecycle.</w:t>
      </w:r>
    </w:p>
    <w:p>
      <w:pPr>
        <w:keepNext w:val="0"/>
        <w:spacing w:before="0" w:after="140" w:line="269" w:lineRule="auto"/>
      </w:pPr>
      <w:r>
        <w:rPr>
          <w:rFonts w:ascii="Arial" w:hAnsi="Arial"/>
          <w:b/>
          <w:color w:val="181818"/>
          <w:sz w:val="18"/>
        </w:rPr>
        <w:t>Acceptance evidence: Door function matrix, credential and schedule matrix, riser, power budget, and interface responsibility list.</w:t>
      </w:r>
    </w:p>
    <w:p>
      <w:pPr>
        <w:keepNext/>
        <w:spacing w:before="200" w:after="120" w:line="269" w:lineRule="auto"/>
      </w:pPr>
      <w:r>
        <w:rPr>
          <w:rFonts w:ascii="Arial" w:hAnsi="Arial"/>
          <w:b/>
          <w:color w:val="9B792B"/>
          <w:sz w:val="24"/>
        </w:rPr>
        <w:t>03  Coordinate and implement</w:t>
      </w:r>
    </w:p>
    <w:p>
      <w:pPr>
        <w:keepNext w:val="0"/>
        <w:spacing w:before="0" w:after="80" w:line="269" w:lineRule="auto"/>
      </w:pPr>
      <w:r>
        <w:rPr>
          <w:rFonts w:ascii="Arial" w:hAnsi="Arial"/>
          <w:b w:val="0"/>
          <w:color w:val="181818"/>
          <w:sz w:val="20"/>
        </w:rPr>
        <w:t>Sequence locksmith, electrical, fire-alarm, network, and security work; install and label devices; then configure roles and event rules.</w:t>
      </w:r>
    </w:p>
    <w:p>
      <w:pPr>
        <w:keepNext w:val="0"/>
        <w:spacing w:before="0" w:after="140" w:line="269" w:lineRule="auto"/>
      </w:pPr>
      <w:r>
        <w:rPr>
          <w:rFonts w:ascii="Arial" w:hAnsi="Arial"/>
          <w:b/>
          <w:color w:val="181818"/>
          <w:sz w:val="18"/>
        </w:rPr>
        <w:t>Acceptance evidence: Labeled controller and field wiring, device inventory, configuration export, and coordination signoffs.</w:t>
      </w:r>
    </w:p>
    <w:p>
      <w:pPr>
        <w:keepNext/>
        <w:spacing w:before="200" w:after="120" w:line="269" w:lineRule="auto"/>
      </w:pPr>
      <w:r>
        <w:rPr>
          <w:rFonts w:ascii="Arial" w:hAnsi="Arial"/>
          <w:b/>
          <w:color w:val="9B792B"/>
          <w:sz w:val="24"/>
        </w:rPr>
        <w:t>04  Exercise every state</w:t>
      </w:r>
    </w:p>
    <w:p>
      <w:pPr>
        <w:keepNext w:val="0"/>
        <w:spacing w:before="0" w:after="80" w:line="269" w:lineRule="auto"/>
      </w:pPr>
      <w:r>
        <w:rPr>
          <w:rFonts w:ascii="Arial" w:hAnsi="Arial"/>
          <w:b w:val="0"/>
          <w:color w:val="181818"/>
          <w:sz w:val="20"/>
        </w:rPr>
        <w:t>Test valid and invalid credentials, schedules, door position, request to exit, forced and held events, power and network states, and approved emergency interfaces.</w:t>
      </w:r>
    </w:p>
    <w:p>
      <w:pPr>
        <w:keepNext w:val="0"/>
        <w:spacing w:before="0" w:after="140" w:line="269" w:lineRule="auto"/>
      </w:pPr>
      <w:r>
        <w:rPr>
          <w:rFonts w:ascii="Arial" w:hAnsi="Arial"/>
          <w:b/>
          <w:color w:val="181818"/>
          <w:sz w:val="18"/>
        </w:rPr>
        <w:t>Acceptance evidence: Opening-by-opening acceptance sheet, event-log samples, exception register, administrator accounts, and training record.</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Door survey and function matrix</w:t>
      </w:r>
    </w:p>
    <w:p>
      <w:pPr>
        <w:keepNext w:val="0"/>
        <w:spacing w:before="0" w:after="100" w:line="269" w:lineRule="auto"/>
        <w:ind w:left="187" w:hanging="187"/>
      </w:pPr>
      <w:r>
        <w:rPr>
          <w:rFonts w:ascii="Arial" w:hAnsi="Arial"/>
          <w:b w:val="0"/>
          <w:color w:val="181818"/>
          <w:sz w:val="20"/>
        </w:rPr>
        <w:t>•  Hardware, power, pathway, network, and interface design</w:t>
      </w:r>
    </w:p>
    <w:p>
      <w:pPr>
        <w:keepNext w:val="0"/>
        <w:spacing w:before="0" w:after="100" w:line="269" w:lineRule="auto"/>
        <w:ind w:left="187" w:hanging="187"/>
      </w:pPr>
      <w:r>
        <w:rPr>
          <w:rFonts w:ascii="Arial" w:hAnsi="Arial"/>
          <w:b w:val="0"/>
          <w:color w:val="181818"/>
          <w:sz w:val="20"/>
        </w:rPr>
        <w:t>•  Credential groups, schedules, event rules, and administrator record</w:t>
      </w:r>
    </w:p>
    <w:p>
      <w:pPr>
        <w:keepNext w:val="0"/>
        <w:spacing w:before="0" w:after="100" w:line="269" w:lineRule="auto"/>
        <w:ind w:left="187" w:hanging="187"/>
      </w:pPr>
      <w:r>
        <w:rPr>
          <w:rFonts w:ascii="Arial" w:hAnsi="Arial"/>
          <w:b w:val="0"/>
          <w:color w:val="181818"/>
          <w:sz w:val="20"/>
        </w:rPr>
        <w:t>•  State-by-state acceptance results and event-log samples</w:t>
      </w:r>
    </w:p>
    <w:p>
      <w:pPr>
        <w:keepNext w:val="0"/>
        <w:spacing w:before="0" w:after="100" w:line="269" w:lineRule="auto"/>
        <w:ind w:left="187" w:hanging="187"/>
      </w:pPr>
      <w:r>
        <w:rPr>
          <w:rFonts w:ascii="Arial" w:hAnsi="Arial"/>
          <w:b w:val="0"/>
          <w:color w:val="181818"/>
          <w:sz w:val="20"/>
        </w:rPr>
        <w:t>•  As-built door schedule, labeled panels, asset list, and training</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GHT-SVC-019 / ACCESS CONTROL</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Door, frame, hardware, egress, fire-rating, and accessibility conditions</w:t>
      </w:r>
    </w:p>
    <w:p>
      <w:pPr>
        <w:keepNext w:val="0"/>
        <w:spacing w:before="0" w:after="100" w:line="269" w:lineRule="auto"/>
        <w:ind w:left="187" w:hanging="187"/>
      </w:pPr>
      <w:r>
        <w:rPr>
          <w:rFonts w:ascii="Arial" w:hAnsi="Arial"/>
          <w:b w:val="0"/>
          <w:color w:val="181818"/>
          <w:sz w:val="20"/>
        </w:rPr>
        <w:t>•  Users, groups, schedules, credential issue and revocation workflow</w:t>
      </w:r>
    </w:p>
    <w:p>
      <w:pPr>
        <w:keepNext w:val="0"/>
        <w:spacing w:before="0" w:after="100" w:line="269" w:lineRule="auto"/>
        <w:ind w:left="187" w:hanging="187"/>
      </w:pPr>
      <w:r>
        <w:rPr>
          <w:rFonts w:ascii="Arial" w:hAnsi="Arial"/>
          <w:b w:val="0"/>
          <w:color w:val="181818"/>
          <w:sz w:val="20"/>
        </w:rPr>
        <w:t>•  Required behavior during power, network, fire-alarm, and lockdown states</w:t>
      </w:r>
    </w:p>
    <w:p>
      <w:pPr>
        <w:keepNext w:val="0"/>
        <w:spacing w:before="0" w:after="100" w:line="269" w:lineRule="auto"/>
        <w:ind w:left="187" w:hanging="187"/>
      </w:pPr>
      <w:r>
        <w:rPr>
          <w:rFonts w:ascii="Arial" w:hAnsi="Arial"/>
          <w:b w:val="0"/>
          <w:color w:val="181818"/>
          <w:sz w:val="20"/>
        </w:rPr>
        <w:t>•  Available pathway, controller location, power, batteries, and network</w:t>
      </w:r>
    </w:p>
    <w:p>
      <w:pPr>
        <w:keepNext w:val="0"/>
        <w:spacing w:before="0" w:after="100" w:line="269" w:lineRule="auto"/>
        <w:ind w:left="187" w:hanging="187"/>
      </w:pPr>
      <w:r>
        <w:rPr>
          <w:rFonts w:ascii="Arial" w:hAnsi="Arial"/>
          <w:b w:val="0"/>
          <w:color w:val="181818"/>
          <w:sz w:val="20"/>
        </w:rPr>
        <w:t>•  Integration, event retention, reporting, and administrator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Door hardware, egress, accessibility, fire rating, and emergency release require project-specific review</w:t>
      </w:r>
    </w:p>
    <w:p>
      <w:pPr>
        <w:keepNext w:val="0"/>
        <w:spacing w:before="0" w:after="100" w:line="269" w:lineRule="auto"/>
        <w:ind w:left="187" w:hanging="187"/>
      </w:pPr>
      <w:r>
        <w:rPr>
          <w:rFonts w:ascii="Arial" w:hAnsi="Arial"/>
          <w:b w:val="0"/>
          <w:color w:val="181818"/>
          <w:sz w:val="20"/>
        </w:rPr>
        <w:t>•  Access control records entry events; they do not prove a person’s identity or prevent tailgating by themselves</w:t>
      </w:r>
    </w:p>
    <w:p>
      <w:pPr>
        <w:keepNext w:val="0"/>
        <w:spacing w:before="0" w:after="100" w:line="269" w:lineRule="auto"/>
        <w:ind w:left="187" w:hanging="187"/>
      </w:pPr>
      <w:r>
        <w:rPr>
          <w:rFonts w:ascii="Arial" w:hAnsi="Arial"/>
          <w:b w:val="0"/>
          <w:color w:val="181818"/>
          <w:sz w:val="20"/>
        </w:rPr>
        <w:t>•  Cloud administration and mobile credentials depend on licensing, supported devices, and connectivity</w:t>
      </w:r>
    </w:p>
    <w:p>
      <w:pPr>
        <w:keepNext w:val="0"/>
        <w:spacing w:before="0" w:after="100" w:line="269" w:lineRule="auto"/>
        <w:ind w:left="187" w:hanging="187"/>
      </w:pPr>
      <w:r>
        <w:rPr>
          <w:rFonts w:ascii="Arial" w:hAnsi="Arial"/>
          <w:b w:val="0"/>
          <w:color w:val="181818"/>
          <w:sz w:val="20"/>
        </w:rPr>
        <w:t>•  Existing doors may need locksmith, glazing, carpentry, electrical, or fire-alarm work outside the security scope</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Security Industry Association — Open Supervised Device Protocol</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National Institute of Standards and Technology — SP 800-53 Rev. 5: Security and Privacy Controls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United States Access Board — Guide to the ADA Standards: Entrances, Doors, and Gates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securityindustry.org/industry-standards/open-supervised-device-protocol/" TargetMode="External"/><Relationship Id="rId13" Type="http://schemas.openxmlformats.org/officeDocument/2006/relationships/hyperlink" Target="https://csrc.nist.gov/pubs/sp/800/53/r5/upd1/final" TargetMode="External"/><Relationship Id="rId14" Type="http://schemas.openxmlformats.org/officeDocument/2006/relationships/hyperlink" Target="https://www.access-board.gov/ada/guides/chapter-4-entrances-doors-and-gates/" TargetMode="External"/><Relationship Id="rId15" Type="http://schemas.openxmlformats.org/officeDocument/2006/relationships/hyperlink" Target="https://ght.network/services/physical-security/access-contr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control — Service specification</dc:title>
  <dc:subject>Credentials, readers, controllers, locks, door contacts, request-to-exit devices, schedules, power, network, and administrator policy, with project-specific door-hardware and life-safety review.</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