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OPERATIONAL SYSTEMS</w:t>
      </w:r>
    </w:p>
    <w:p>
      <w:pPr>
        <w:keepNext/>
        <w:spacing w:before="0" w:after="180" w:line="269" w:lineRule="auto"/>
      </w:pPr>
      <w:r>
        <w:rPr>
          <w:rFonts w:ascii="Arial" w:hAnsi="Arial"/>
          <w:b/>
          <w:color w:val="181818"/>
          <w:sz w:val="48"/>
        </w:rPr>
        <w:t>Asset tracking</w:t>
      </w:r>
    </w:p>
    <w:p>
      <w:pPr>
        <w:keepNext w:val="0"/>
        <w:spacing w:before="0" w:after="240" w:line="269" w:lineRule="auto"/>
      </w:pPr>
      <w:r>
        <w:rPr>
          <w:rFonts w:ascii="Arial" w:hAnsi="Arial"/>
          <w:b w:val="0"/>
          <w:color w:val="646464"/>
          <w:sz w:val="17"/>
        </w:rPr>
        <w:t>GHT-SVC-029   •   Revision 1.0   •   06 September 2026   •   1 / 3</w:t>
      </w:r>
    </w:p>
    <w:p>
      <w:pPr>
        <w:keepNext w:val="0"/>
        <w:spacing w:before="0" w:after="180" w:line="269" w:lineRule="auto"/>
      </w:pPr>
      <w:r>
        <w:rPr>
          <w:rFonts w:ascii="Arial" w:hAnsi="Arial"/>
          <w:b w:val="0"/>
          <w:color w:val="181818"/>
          <w:sz w:val="22"/>
        </w:rPr>
        <w:t>Scans, RFID, BLE, UWB, GPS, cellular, Wi-Fi, cameras, or custody events, chosen by required accuracy, update rate, environment, battery life, privacy, cost, and integration.</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Asset records that answer a defined location, custody, condition, utilization, or maintenance question with measured confidence and a visible exception process.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Asset tracking begins with a managed asset identity and lifecycle: acquire, receive, commission, assign, move, maintain, audit, retire, and dispose. Location technology adds observations to that record; it does not replace the system of record or process ownership.</w:t>
      </w:r>
    </w:p>
    <w:p>
      <w:pPr>
        <w:keepNext w:val="0"/>
        <w:spacing w:before="0" w:after="120" w:line="269" w:lineRule="auto"/>
      </w:pPr>
      <w:r>
        <w:rPr>
          <w:rFonts w:ascii="Arial" w:hAnsi="Arial"/>
          <w:b w:val="0"/>
          <w:color w:val="181818"/>
          <w:sz w:val="20"/>
        </w:rPr>
        <w:t>Zone-level presence, room-level location, doorway transitions, outdoor position, custody scans, and continuous real-time location are different requirements. A pilot should measure missed reads, false locations, latency, battery life, coverage, and reconciliation in the real environment.</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Identity</w:t>
            </w:r>
          </w:p>
        </w:tc>
        <w:tc>
          <w:tcPr>
            <w:tcW w:type="dxa" w:w="7200"/>
            <w:shd w:fill="F4F1E9"/>
          </w:tcPr>
          <w:p>
            <w:pPr>
              <w:spacing w:before="100" w:after="100"/>
            </w:pPr>
            <w:r>
              <w:rPr>
                <w:rFonts w:ascii="Arial" w:hAnsi="Arial"/>
                <w:sz w:val="18"/>
              </w:rPr>
              <w:t>Asset class, unique identifier, owner, custodian, lifecycle, location hierarchy</w:t>
            </w:r>
          </w:p>
        </w:tc>
      </w:tr>
      <w:tr>
        <w:tc>
          <w:tcPr>
            <w:tcW w:type="dxa" w:w="2160"/>
            <w:shd w:fill="FFFFFF"/>
          </w:tcPr>
          <w:p>
            <w:pPr>
              <w:spacing w:before="100" w:after="100"/>
            </w:pPr>
            <w:r>
              <w:rPr>
                <w:rFonts w:ascii="Arial" w:hAnsi="Arial"/>
                <w:b/>
                <w:sz w:val="18"/>
              </w:rPr>
              <w:t>02  Observation</w:t>
            </w:r>
          </w:p>
        </w:tc>
        <w:tc>
          <w:tcPr>
            <w:tcW w:type="dxa" w:w="7200"/>
            <w:shd w:fill="FFFFFF"/>
          </w:tcPr>
          <w:p>
            <w:pPr>
              <w:spacing w:before="100" w:after="100"/>
            </w:pPr>
            <w:r>
              <w:rPr>
                <w:rFonts w:ascii="Arial" w:hAnsi="Arial"/>
                <w:sz w:val="18"/>
              </w:rPr>
              <w:t>Scan, tag, beacon, position, gateway, camera, sensor or human event</w:t>
            </w:r>
          </w:p>
        </w:tc>
      </w:tr>
      <w:tr>
        <w:tc>
          <w:tcPr>
            <w:tcW w:type="dxa" w:w="2160"/>
            <w:shd w:fill="F4F1E9"/>
          </w:tcPr>
          <w:p>
            <w:pPr>
              <w:spacing w:before="100" w:after="100"/>
            </w:pPr>
            <w:r>
              <w:rPr>
                <w:rFonts w:ascii="Arial" w:hAnsi="Arial"/>
                <w:b/>
                <w:sz w:val="18"/>
              </w:rPr>
              <w:t>03  Interpretation</w:t>
            </w:r>
          </w:p>
        </w:tc>
        <w:tc>
          <w:tcPr>
            <w:tcW w:type="dxa" w:w="7200"/>
            <w:shd w:fill="F4F1E9"/>
          </w:tcPr>
          <w:p>
            <w:pPr>
              <w:spacing w:before="100" w:after="100"/>
            </w:pPr>
            <w:r>
              <w:rPr>
                <w:rFonts w:ascii="Arial" w:hAnsi="Arial"/>
                <w:sz w:val="18"/>
              </w:rPr>
              <w:t>Zone, confidence, timestamp, transition, dwell, condition, alert rule</w:t>
            </w:r>
          </w:p>
        </w:tc>
      </w:tr>
      <w:tr>
        <w:tc>
          <w:tcPr>
            <w:tcW w:type="dxa" w:w="2160"/>
            <w:shd w:fill="FFFFFF"/>
          </w:tcPr>
          <w:p>
            <w:pPr>
              <w:spacing w:before="100" w:after="100"/>
            </w:pPr>
            <w:r>
              <w:rPr>
                <w:rFonts w:ascii="Arial" w:hAnsi="Arial"/>
                <w:b/>
                <w:sz w:val="18"/>
              </w:rPr>
              <w:t>04  Action and record</w:t>
            </w:r>
          </w:p>
        </w:tc>
        <w:tc>
          <w:tcPr>
            <w:tcW w:type="dxa" w:w="7200"/>
            <w:shd w:fill="FFFFFF"/>
          </w:tcPr>
          <w:p>
            <w:pPr>
              <w:spacing w:before="100" w:after="100"/>
            </w:pPr>
            <w:r>
              <w:rPr>
                <w:rFonts w:ascii="Arial" w:hAnsi="Arial"/>
                <w:sz w:val="18"/>
              </w:rPr>
              <w:t>System of record, work order, search, audit, exception, maintenance, disposal</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Teams spend meaningful time searching for mobile or shared equipment</w:t>
      </w:r>
    </w:p>
    <w:p>
      <w:pPr>
        <w:keepNext w:val="0"/>
        <w:spacing w:before="0" w:after="100" w:line="269" w:lineRule="auto"/>
        <w:ind w:left="187" w:hanging="187"/>
      </w:pPr>
      <w:r>
        <w:rPr>
          <w:rFonts w:ascii="Arial" w:hAnsi="Arial"/>
          <w:b w:val="0"/>
          <w:color w:val="181818"/>
          <w:sz w:val="20"/>
        </w:rPr>
        <w:t>•  Custody, maintenance, calibration, or utilization records do not match the asset state</w:t>
      </w:r>
    </w:p>
    <w:p>
      <w:pPr>
        <w:keepNext w:val="0"/>
        <w:spacing w:before="0" w:after="100" w:line="269" w:lineRule="auto"/>
        <w:ind w:left="187" w:hanging="187"/>
      </w:pPr>
      <w:r>
        <w:rPr>
          <w:rFonts w:ascii="Arial" w:hAnsi="Arial"/>
          <w:b w:val="0"/>
          <w:color w:val="181818"/>
          <w:sz w:val="20"/>
        </w:rPr>
        <w:t>•  A proposed real-time system has no required accuracy, latency, or action defined</w:t>
      </w:r>
    </w:p>
    <w:p>
      <w:pPr>
        <w:keepNext w:val="0"/>
        <w:spacing w:before="0" w:after="100" w:line="269" w:lineRule="auto"/>
        <w:ind w:left="187" w:hanging="187"/>
      </w:pPr>
      <w:r>
        <w:rPr>
          <w:rFonts w:ascii="Arial" w:hAnsi="Arial"/>
          <w:b w:val="0"/>
          <w:color w:val="181818"/>
          <w:sz w:val="20"/>
        </w:rPr>
        <w:t>•  Existing tags or labels are duplicated, damaged, inconsistently applied, or detached from the lifecycle</w:t>
      </w:r>
    </w:p>
    <w:p>
      <w:r>
        <w:br w:type="page"/>
      </w:r>
    </w:p>
    <w:p>
      <w:pPr>
        <w:keepNext/>
        <w:spacing w:before="1200" w:after="160" w:line="269" w:lineRule="auto"/>
      </w:pPr>
      <w:r>
        <w:rPr>
          <w:rFonts w:ascii="Arial" w:hAnsi="Arial"/>
          <w:b/>
          <w:color w:val="9B792B"/>
          <w:sz w:val="18"/>
        </w:rPr>
        <w:t>GHT-SVC-029 / ASSET TRACKING</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Define asset decisions</w:t>
      </w:r>
    </w:p>
    <w:p>
      <w:pPr>
        <w:keepNext w:val="0"/>
        <w:spacing w:before="0" w:after="80" w:line="269" w:lineRule="auto"/>
      </w:pPr>
      <w:r>
        <w:rPr>
          <w:rFonts w:ascii="Arial" w:hAnsi="Arial"/>
          <w:b w:val="0"/>
          <w:color w:val="181818"/>
          <w:sz w:val="20"/>
        </w:rPr>
        <w:t>Classify assets, value, movement, custody, location question, precision, latency, condition, maintenance, privacy, and actions triggered by an observation.</w:t>
      </w:r>
    </w:p>
    <w:p>
      <w:pPr>
        <w:keepNext w:val="0"/>
        <w:spacing w:before="0" w:after="140" w:line="269" w:lineRule="auto"/>
      </w:pPr>
      <w:r>
        <w:rPr>
          <w:rFonts w:ascii="Arial" w:hAnsi="Arial"/>
          <w:b/>
          <w:color w:val="181818"/>
          <w:sz w:val="18"/>
        </w:rPr>
        <w:t>Acceptance evidence: Asset-class and decision matrix, lifecycle map, location hierarchy, current search or loss baseline, and privacy questions.</w:t>
      </w:r>
    </w:p>
    <w:p>
      <w:pPr>
        <w:keepNext/>
        <w:spacing w:before="200" w:after="120" w:line="269" w:lineRule="auto"/>
      </w:pPr>
      <w:r>
        <w:rPr>
          <w:rFonts w:ascii="Arial" w:hAnsi="Arial"/>
          <w:b/>
          <w:color w:val="9B792B"/>
          <w:sz w:val="24"/>
        </w:rPr>
        <w:t>02  Select the observation method</w:t>
      </w:r>
    </w:p>
    <w:p>
      <w:pPr>
        <w:keepNext w:val="0"/>
        <w:spacing w:before="0" w:after="80" w:line="269" w:lineRule="auto"/>
      </w:pPr>
      <w:r>
        <w:rPr>
          <w:rFonts w:ascii="Arial" w:hAnsi="Arial"/>
          <w:b w:val="0"/>
          <w:color w:val="181818"/>
          <w:sz w:val="20"/>
        </w:rPr>
        <w:t>Compare barcode, RFID, BLE, UWB, GPS, cellular, Wi-Fi, camera, and manual events against range, accuracy, latency, battery, environment, infrastructure, and cost.</w:t>
      </w:r>
    </w:p>
    <w:p>
      <w:pPr>
        <w:keepNext w:val="0"/>
        <w:spacing w:before="0" w:after="140" w:line="269" w:lineRule="auto"/>
      </w:pPr>
      <w:r>
        <w:rPr>
          <w:rFonts w:ascii="Arial" w:hAnsi="Arial"/>
          <w:b/>
          <w:color w:val="181818"/>
          <w:sz w:val="18"/>
        </w:rPr>
        <w:t>Acceptance evidence: Technology trade study, tag and gateway plan, coverage model, system-of-record mapping, and pilot acceptance thresholds.</w:t>
      </w:r>
    </w:p>
    <w:p>
      <w:pPr>
        <w:keepNext/>
        <w:spacing w:before="200" w:after="120" w:line="269" w:lineRule="auto"/>
      </w:pPr>
      <w:r>
        <w:rPr>
          <w:rFonts w:ascii="Arial" w:hAnsi="Arial"/>
          <w:b/>
          <w:color w:val="9B792B"/>
          <w:sz w:val="24"/>
        </w:rPr>
        <w:t>03  Pilot in the real path</w:t>
      </w:r>
    </w:p>
    <w:p>
      <w:pPr>
        <w:keepNext w:val="0"/>
        <w:spacing w:before="0" w:after="80" w:line="269" w:lineRule="auto"/>
      </w:pPr>
      <w:r>
        <w:rPr>
          <w:rFonts w:ascii="Arial" w:hAnsi="Arial"/>
          <w:b w:val="0"/>
          <w:color w:val="181818"/>
          <w:sz w:val="20"/>
        </w:rPr>
        <w:t>Tag representative assets, install the limited pilot infrastructure, integrate events, train users, and run normal movement plus difficult materials, locations, and exceptions.</w:t>
      </w:r>
    </w:p>
    <w:p>
      <w:pPr>
        <w:keepNext w:val="0"/>
        <w:spacing w:before="0" w:after="140" w:line="269" w:lineRule="auto"/>
      </w:pPr>
      <w:r>
        <w:rPr>
          <w:rFonts w:ascii="Arial" w:hAnsi="Arial"/>
          <w:b/>
          <w:color w:val="181818"/>
          <w:sz w:val="18"/>
        </w:rPr>
        <w:t>Acceptance evidence: Pilot inventory, observed read and location results, latency, missed and false events, battery assumptions, and operator feedback.</w:t>
      </w:r>
    </w:p>
    <w:p>
      <w:pPr>
        <w:keepNext/>
        <w:spacing w:before="200" w:after="120" w:line="269" w:lineRule="auto"/>
      </w:pPr>
      <w:r>
        <w:rPr>
          <w:rFonts w:ascii="Arial" w:hAnsi="Arial"/>
          <w:b/>
          <w:color w:val="9B792B"/>
          <w:sz w:val="24"/>
        </w:rPr>
        <w:t>04  Prove the full lifecycle</w:t>
      </w:r>
    </w:p>
    <w:p>
      <w:pPr>
        <w:keepNext w:val="0"/>
        <w:spacing w:before="0" w:after="80" w:line="269" w:lineRule="auto"/>
      </w:pPr>
      <w:r>
        <w:rPr>
          <w:rFonts w:ascii="Arial" w:hAnsi="Arial"/>
          <w:b w:val="0"/>
          <w:color w:val="181818"/>
          <w:sz w:val="20"/>
        </w:rPr>
        <w:t>Test receive, assign, move, search, alert, maintenance, lost tag, offline gateway, duplicate, audit, retirement, and data correction.</w:t>
      </w:r>
    </w:p>
    <w:p>
      <w:pPr>
        <w:keepNext w:val="0"/>
        <w:spacing w:before="0" w:after="140" w:line="269" w:lineRule="auto"/>
      </w:pPr>
      <w:r>
        <w:rPr>
          <w:rFonts w:ascii="Arial" w:hAnsi="Arial"/>
          <w:b/>
          <w:color w:val="181818"/>
          <w:sz w:val="18"/>
        </w:rPr>
        <w:t>Acceptance evidence: Accepted scenario set, matched asset records, exception queue, coverage gaps, support runbook, and scale recommendation.</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Asset decision, lifecycle, and location hierarchy</w:t>
      </w:r>
    </w:p>
    <w:p>
      <w:pPr>
        <w:keepNext w:val="0"/>
        <w:spacing w:before="0" w:after="100" w:line="269" w:lineRule="auto"/>
        <w:ind w:left="187" w:hanging="187"/>
      </w:pPr>
      <w:r>
        <w:rPr>
          <w:rFonts w:ascii="Arial" w:hAnsi="Arial"/>
          <w:b w:val="0"/>
          <w:color w:val="181818"/>
          <w:sz w:val="20"/>
        </w:rPr>
        <w:t>•  Technology trade study and pilot acceptance thresholds</w:t>
      </w:r>
    </w:p>
    <w:p>
      <w:pPr>
        <w:keepNext w:val="0"/>
        <w:spacing w:before="0" w:after="100" w:line="269" w:lineRule="auto"/>
        <w:ind w:left="187" w:hanging="187"/>
      </w:pPr>
      <w:r>
        <w:rPr>
          <w:rFonts w:ascii="Arial" w:hAnsi="Arial"/>
          <w:b w:val="0"/>
          <w:color w:val="181818"/>
          <w:sz w:val="20"/>
        </w:rPr>
        <w:t>•  Tag, gateway, coverage, network, power, and maintenance plan</w:t>
      </w:r>
    </w:p>
    <w:p>
      <w:pPr>
        <w:keepNext w:val="0"/>
        <w:spacing w:before="0" w:after="100" w:line="269" w:lineRule="auto"/>
        <w:ind w:left="187" w:hanging="187"/>
      </w:pPr>
      <w:r>
        <w:rPr>
          <w:rFonts w:ascii="Arial" w:hAnsi="Arial"/>
          <w:b w:val="0"/>
          <w:color w:val="181818"/>
          <w:sz w:val="20"/>
        </w:rPr>
        <w:t>•  Pilot measurement and exception evidence</w:t>
      </w:r>
    </w:p>
    <w:p>
      <w:pPr>
        <w:keepNext w:val="0"/>
        <w:spacing w:before="0" w:after="100" w:line="269" w:lineRule="auto"/>
        <w:ind w:left="187" w:hanging="187"/>
      </w:pPr>
      <w:r>
        <w:rPr>
          <w:rFonts w:ascii="Arial" w:hAnsi="Arial"/>
          <w:b w:val="0"/>
          <w:color w:val="181818"/>
          <w:sz w:val="20"/>
        </w:rPr>
        <w:t>•  Integration map, matched sample records, support runbook, and scale recommendation</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GHT-SVC-029 / ASSET TRACKING</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Asset classes, quantities, value, size, material, movement, owner, and lifecycle</w:t>
      </w:r>
    </w:p>
    <w:p>
      <w:pPr>
        <w:keepNext w:val="0"/>
        <w:spacing w:before="0" w:after="100" w:line="269" w:lineRule="auto"/>
        <w:ind w:left="187" w:hanging="187"/>
      </w:pPr>
      <w:r>
        <w:rPr>
          <w:rFonts w:ascii="Arial" w:hAnsi="Arial"/>
          <w:b w:val="0"/>
          <w:color w:val="181818"/>
          <w:sz w:val="20"/>
        </w:rPr>
        <w:t>•  Decision, required location precision, update frequency, confidence, and alert action</w:t>
      </w:r>
    </w:p>
    <w:p>
      <w:pPr>
        <w:keepNext w:val="0"/>
        <w:spacing w:before="0" w:after="100" w:line="269" w:lineRule="auto"/>
        <w:ind w:left="187" w:hanging="187"/>
      </w:pPr>
      <w:r>
        <w:rPr>
          <w:rFonts w:ascii="Arial" w:hAnsi="Arial"/>
          <w:b w:val="0"/>
          <w:color w:val="181818"/>
          <w:sz w:val="20"/>
        </w:rPr>
        <w:t>•  Indoor/outdoor environment, RF materials, coverage, gateways, power, network, and mounting</w:t>
      </w:r>
    </w:p>
    <w:p>
      <w:pPr>
        <w:keepNext w:val="0"/>
        <w:spacing w:before="0" w:after="100" w:line="269" w:lineRule="auto"/>
        <w:ind w:left="187" w:hanging="187"/>
      </w:pPr>
      <w:r>
        <w:rPr>
          <w:rFonts w:ascii="Arial" w:hAnsi="Arial"/>
          <w:b w:val="0"/>
          <w:color w:val="181818"/>
          <w:sz w:val="20"/>
        </w:rPr>
        <w:t>•  Tag form factor, attachment, battery, replacement, tamper, privacy, and disposal</w:t>
      </w:r>
    </w:p>
    <w:p>
      <w:pPr>
        <w:keepNext w:val="0"/>
        <w:spacing w:before="0" w:after="100" w:line="269" w:lineRule="auto"/>
        <w:ind w:left="187" w:hanging="187"/>
      </w:pPr>
      <w:r>
        <w:rPr>
          <w:rFonts w:ascii="Arial" w:hAnsi="Arial"/>
          <w:b w:val="0"/>
          <w:color w:val="181818"/>
          <w:sz w:val="20"/>
        </w:rPr>
        <w:t>•  System of record, event fields, integrations, retention, permissions, and exception reconciliation</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Location accuracy, latency, and read rate vary with environment, tag, geometry, obstruction, interference, mounting, and movement</w:t>
      </w:r>
    </w:p>
    <w:p>
      <w:pPr>
        <w:keepNext w:val="0"/>
        <w:spacing w:before="0" w:after="100" w:line="269" w:lineRule="auto"/>
        <w:ind w:left="187" w:hanging="187"/>
      </w:pPr>
      <w:r>
        <w:rPr>
          <w:rFonts w:ascii="Arial" w:hAnsi="Arial"/>
          <w:b w:val="0"/>
          <w:color w:val="181818"/>
          <w:sz w:val="20"/>
        </w:rPr>
        <w:t>•  Battery-powered tags add inspection, replacement, charging, inventory, and disposal work</w:t>
      </w:r>
    </w:p>
    <w:p>
      <w:pPr>
        <w:keepNext w:val="0"/>
        <w:spacing w:before="0" w:after="100" w:line="269" w:lineRule="auto"/>
        <w:ind w:left="187" w:hanging="187"/>
      </w:pPr>
      <w:r>
        <w:rPr>
          <w:rFonts w:ascii="Arial" w:hAnsi="Arial"/>
          <w:b w:val="0"/>
          <w:color w:val="181818"/>
          <w:sz w:val="20"/>
        </w:rPr>
        <w:t>•  Tracking people, personal devices, vehicles, or customer-associated assets can trigger privacy, labor, consent, and retention obligations</w:t>
      </w:r>
    </w:p>
    <w:p>
      <w:pPr>
        <w:keepNext w:val="0"/>
        <w:spacing w:before="0" w:after="100" w:line="269" w:lineRule="auto"/>
        <w:ind w:left="187" w:hanging="187"/>
      </w:pPr>
      <w:r>
        <w:rPr>
          <w:rFonts w:ascii="Arial" w:hAnsi="Arial"/>
          <w:b w:val="0"/>
          <w:color w:val="181818"/>
          <w:sz w:val="20"/>
        </w:rPr>
        <w:t>•  An observation is not a reliable asset record until matching rules and ownership are defined</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GS1 — RFID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GS1 — How GS1 standards work</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International Organization for Standardization — ISO 55000:2024: Asset management overview and principles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gs1.org/standards/rfid" TargetMode="External"/><Relationship Id="rId13" Type="http://schemas.openxmlformats.org/officeDocument/2006/relationships/hyperlink" Target="https://www.gs1.org/standards/how-gs1-standards-work" TargetMode="External"/><Relationship Id="rId14" Type="http://schemas.openxmlformats.org/officeDocument/2006/relationships/hyperlink" Target="https://www.iso.org/standard/83053.html" TargetMode="External"/><Relationship Id="rId15" Type="http://schemas.openxmlformats.org/officeDocument/2006/relationships/hyperlink" Target="https://ght.network/services/operational-systems/asset-track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 tracking — Service specification</dc:title>
  <dc:subject>Scans, RFID, BLE, UWB, GPS, cellular, Wi-Fi, cameras, or custody events, chosen by required accuracy, update rate, environment, battery life, privacy, cost, and integration.</dc:subject>
  <dc:creator>Glass House Technologies</dc:creator>
  <cp:keywords>Operational systems,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