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OPERATIONAL SYSTEMS</w:t>
      </w:r>
    </w:p>
    <w:p>
      <w:pPr>
        <w:keepNext/>
        <w:spacing w:before="0" w:after="180" w:line="269" w:lineRule="auto"/>
      </w:pPr>
      <w:r>
        <w:rPr>
          <w:rFonts w:ascii="Arial" w:hAnsi="Arial"/>
          <w:b/>
          <w:color w:val="181818"/>
          <w:sz w:val="48"/>
        </w:rPr>
        <w:t>Operational automation and integration</w:t>
      </w:r>
    </w:p>
    <w:p>
      <w:pPr>
        <w:keepNext w:val="0"/>
        <w:spacing w:before="0" w:after="240" w:line="269" w:lineRule="auto"/>
      </w:pPr>
      <w:r>
        <w:rPr>
          <w:rFonts w:ascii="Arial" w:hAnsi="Arial"/>
          <w:b w:val="0"/>
          <w:color w:val="646464"/>
          <w:sz w:val="17"/>
        </w:rPr>
        <w:t>GHT-SVC-030   •   Revision 1.0   •   06 September 2026   •   1 / 3</w:t>
      </w:r>
    </w:p>
    <w:p>
      <w:pPr>
        <w:keepNext w:val="0"/>
        <w:spacing w:before="0" w:after="180" w:line="269" w:lineRule="auto"/>
      </w:pPr>
      <w:r>
        <w:rPr>
          <w:rFonts w:ascii="Arial" w:hAnsi="Arial"/>
          <w:b w:val="0"/>
          <w:color w:val="181818"/>
          <w:sz w:val="22"/>
        </w:rPr>
        <w:t>Supported APIs, webhooks, files, records, alerts, approvals, schedules, and devices connect with validation, limited permissions, duplicate protection, logs, retries, and manual recovery.</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tested automated process that records each state, flags incomplete work, prevents duplicate effects, and can be paused, retried, reversed, or completed manually.</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Automation can connect APIs, webhooks, files, databases, message queues, notifications, schedules, identity platforms, and physical devices. The workflow needs a source of truth, schema, permissions, timing, validation, duplicate handling, error states, audit log, and owner.</w:t>
      </w:r>
    </w:p>
    <w:p>
      <w:pPr>
        <w:keepNext w:val="0"/>
        <w:spacing w:before="0" w:after="120" w:line="269" w:lineRule="auto"/>
      </w:pPr>
      <w:r>
        <w:rPr>
          <w:rFonts w:ascii="Arial" w:hAnsi="Arial"/>
          <w:b w:val="0"/>
          <w:color w:val="181818"/>
          <w:sz w:val="20"/>
        </w:rPr>
        <w:t>Physical or safety-related actions deserve stricter boundaries than informational updates. A system should fail to a documented state and preserve a manual path rather than silently fabricating success or repeatedly issuing an unsafe command.</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Trigger</w:t>
            </w:r>
          </w:p>
        </w:tc>
        <w:tc>
          <w:tcPr>
            <w:tcW w:type="dxa" w:w="7200"/>
            <w:shd w:fill="F4F1E9"/>
          </w:tcPr>
          <w:p>
            <w:pPr>
              <w:spacing w:before="100" w:after="100"/>
            </w:pPr>
            <w:r>
              <w:rPr>
                <w:rFonts w:ascii="Arial" w:hAnsi="Arial"/>
                <w:sz w:val="18"/>
              </w:rPr>
              <w:t>Event, schedule, threshold, user action, approved device state</w:t>
            </w:r>
          </w:p>
        </w:tc>
      </w:tr>
      <w:tr>
        <w:tc>
          <w:tcPr>
            <w:tcW w:type="dxa" w:w="2160"/>
            <w:shd w:fill="FFFFFF"/>
          </w:tcPr>
          <w:p>
            <w:pPr>
              <w:spacing w:before="100" w:after="100"/>
            </w:pPr>
            <w:r>
              <w:rPr>
                <w:rFonts w:ascii="Arial" w:hAnsi="Arial"/>
                <w:b/>
                <w:sz w:val="18"/>
              </w:rPr>
              <w:t>02  Decision</w:t>
            </w:r>
          </w:p>
        </w:tc>
        <w:tc>
          <w:tcPr>
            <w:tcW w:type="dxa" w:w="7200"/>
            <w:shd w:fill="FFFFFF"/>
          </w:tcPr>
          <w:p>
            <w:pPr>
              <w:spacing w:before="100" w:after="100"/>
            </w:pPr>
            <w:r>
              <w:rPr>
                <w:rFonts w:ascii="Arial" w:hAnsi="Arial"/>
                <w:sz w:val="18"/>
              </w:rPr>
              <w:t>Validation, policy, authorization, approval, idempotency, state</w:t>
            </w:r>
          </w:p>
        </w:tc>
      </w:tr>
      <w:tr>
        <w:tc>
          <w:tcPr>
            <w:tcW w:type="dxa" w:w="2160"/>
            <w:shd w:fill="F4F1E9"/>
          </w:tcPr>
          <w:p>
            <w:pPr>
              <w:spacing w:before="100" w:after="100"/>
            </w:pPr>
            <w:r>
              <w:rPr>
                <w:rFonts w:ascii="Arial" w:hAnsi="Arial"/>
                <w:b/>
                <w:sz w:val="18"/>
              </w:rPr>
              <w:t>03  Action</w:t>
            </w:r>
          </w:p>
        </w:tc>
        <w:tc>
          <w:tcPr>
            <w:tcW w:type="dxa" w:w="7200"/>
            <w:shd w:fill="F4F1E9"/>
          </w:tcPr>
          <w:p>
            <w:pPr>
              <w:spacing w:before="100" w:after="100"/>
            </w:pPr>
            <w:r>
              <w:rPr>
                <w:rFonts w:ascii="Arial" w:hAnsi="Arial"/>
                <w:sz w:val="18"/>
              </w:rPr>
              <w:t>API, webhook, message, record, notification, device or human task</w:t>
            </w:r>
          </w:p>
        </w:tc>
      </w:tr>
      <w:tr>
        <w:tc>
          <w:tcPr>
            <w:tcW w:type="dxa" w:w="2160"/>
            <w:shd w:fill="FFFFFF"/>
          </w:tcPr>
          <w:p>
            <w:pPr>
              <w:spacing w:before="100" w:after="100"/>
            </w:pPr>
            <w:r>
              <w:rPr>
                <w:rFonts w:ascii="Arial" w:hAnsi="Arial"/>
                <w:b/>
                <w:sz w:val="18"/>
              </w:rPr>
              <w:t>04  Evidence</w:t>
            </w:r>
          </w:p>
        </w:tc>
        <w:tc>
          <w:tcPr>
            <w:tcW w:type="dxa" w:w="7200"/>
            <w:shd w:fill="FFFFFF"/>
          </w:tcPr>
          <w:p>
            <w:pPr>
              <w:spacing w:before="100" w:after="100"/>
            </w:pPr>
            <w:r>
              <w:rPr>
                <w:rFonts w:ascii="Arial" w:hAnsi="Arial"/>
                <w:sz w:val="18"/>
              </w:rPr>
              <w:t>Audit, status, acknowledgement, exception, retry, rollback, manual close</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Staff copy the same data between systems or repeatedly chase the same status</w:t>
      </w:r>
    </w:p>
    <w:p>
      <w:pPr>
        <w:keepNext w:val="0"/>
        <w:spacing w:before="0" w:after="100" w:line="269" w:lineRule="auto"/>
        <w:ind w:left="187" w:hanging="187"/>
      </w:pPr>
      <w:r>
        <w:rPr>
          <w:rFonts w:ascii="Arial" w:hAnsi="Arial"/>
          <w:b w:val="0"/>
          <w:color w:val="181818"/>
          <w:sz w:val="20"/>
        </w:rPr>
        <w:t>•  Alerts lack routing, acknowledgement, escalation, or closure evidence</w:t>
      </w:r>
    </w:p>
    <w:p>
      <w:pPr>
        <w:keepNext w:val="0"/>
        <w:spacing w:before="0" w:after="100" w:line="269" w:lineRule="auto"/>
        <w:ind w:left="187" w:hanging="187"/>
      </w:pPr>
      <w:r>
        <w:rPr>
          <w:rFonts w:ascii="Arial" w:hAnsi="Arial"/>
          <w:b w:val="0"/>
          <w:color w:val="181818"/>
          <w:sz w:val="20"/>
        </w:rPr>
        <w:t>•  An existing script depends on one person, shared credentials, or invisible scheduled tasks</w:t>
      </w:r>
    </w:p>
    <w:p>
      <w:pPr>
        <w:keepNext w:val="0"/>
        <w:spacing w:before="0" w:after="100" w:line="269" w:lineRule="auto"/>
        <w:ind w:left="187" w:hanging="187"/>
      </w:pPr>
      <w:r>
        <w:rPr>
          <w:rFonts w:ascii="Arial" w:hAnsi="Arial"/>
          <w:b w:val="0"/>
          <w:color w:val="181818"/>
          <w:sz w:val="20"/>
        </w:rPr>
        <w:t>•  Duplicate, delayed, partial, or failed workflows cannot be traced and resolved</w:t>
      </w:r>
    </w:p>
    <w:p>
      <w:r>
        <w:br w:type="page"/>
      </w:r>
    </w:p>
    <w:p>
      <w:pPr>
        <w:keepNext/>
        <w:spacing w:before="1200" w:after="160" w:line="269" w:lineRule="auto"/>
      </w:pPr>
      <w:r>
        <w:rPr>
          <w:rFonts w:ascii="Arial" w:hAnsi="Arial"/>
          <w:b/>
          <w:color w:val="9B792B"/>
          <w:sz w:val="18"/>
        </w:rPr>
        <w:t>GHT-SVC-030 / OPERATIONAL AUTOMATION AND INTEGRATION</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Observe and bound the work</w:t>
      </w:r>
    </w:p>
    <w:p>
      <w:pPr>
        <w:keepNext w:val="0"/>
        <w:spacing w:before="0" w:after="80" w:line="269" w:lineRule="auto"/>
      </w:pPr>
      <w:r>
        <w:rPr>
          <w:rFonts w:ascii="Arial" w:hAnsi="Arial"/>
          <w:b w:val="0"/>
          <w:color w:val="181818"/>
          <w:sz w:val="20"/>
        </w:rPr>
        <w:t>Map trigger, actors, systems, data, decisions, approvals, timing, exceptions, volume, current evidence, and cost of failure.</w:t>
      </w:r>
    </w:p>
    <w:p>
      <w:pPr>
        <w:keepNext w:val="0"/>
        <w:spacing w:before="0" w:after="140" w:line="269" w:lineRule="auto"/>
      </w:pPr>
      <w:r>
        <w:rPr>
          <w:rFonts w:ascii="Arial" w:hAnsi="Arial"/>
          <w:b/>
          <w:color w:val="181818"/>
          <w:sz w:val="18"/>
        </w:rPr>
        <w:t>Acceptance evidence: Current-state sequence, sample records, rule inventory, exception categories, owner, and success metric.</w:t>
      </w:r>
    </w:p>
    <w:p>
      <w:pPr>
        <w:keepNext/>
        <w:spacing w:before="200" w:after="120" w:line="269" w:lineRule="auto"/>
      </w:pPr>
      <w:r>
        <w:rPr>
          <w:rFonts w:ascii="Arial" w:hAnsi="Arial"/>
          <w:b/>
          <w:color w:val="9B792B"/>
          <w:sz w:val="24"/>
        </w:rPr>
        <w:t>02  Design the control path</w:t>
      </w:r>
    </w:p>
    <w:p>
      <w:pPr>
        <w:keepNext w:val="0"/>
        <w:spacing w:before="0" w:after="80" w:line="269" w:lineRule="auto"/>
      </w:pPr>
      <w:r>
        <w:rPr>
          <w:rFonts w:ascii="Arial" w:hAnsi="Arial"/>
          <w:b w:val="0"/>
          <w:color w:val="181818"/>
          <w:sz w:val="20"/>
        </w:rPr>
        <w:t>Define source of truth, schema, validation, least privilege, approval, idempotency, retry, timeout, logging, alerts, rollback, retention, and manual fallback.</w:t>
      </w:r>
    </w:p>
    <w:p>
      <w:pPr>
        <w:keepNext w:val="0"/>
        <w:spacing w:before="0" w:after="140" w:line="269" w:lineRule="auto"/>
      </w:pPr>
      <w:r>
        <w:rPr>
          <w:rFonts w:ascii="Arial" w:hAnsi="Arial"/>
          <w:b/>
          <w:color w:val="181818"/>
          <w:sz w:val="18"/>
        </w:rPr>
        <w:t>Acceptance evidence: Future-state sequence, data contract, permission and secret-owner model, failure table, and acceptance cases.</w:t>
      </w:r>
    </w:p>
    <w:p>
      <w:pPr>
        <w:keepNext/>
        <w:spacing w:before="200" w:after="120" w:line="269" w:lineRule="auto"/>
      </w:pPr>
      <w:r>
        <w:rPr>
          <w:rFonts w:ascii="Arial" w:hAnsi="Arial"/>
          <w:b/>
          <w:color w:val="9B792B"/>
          <w:sz w:val="24"/>
        </w:rPr>
        <w:t>03  Build and release progressively</w:t>
      </w:r>
    </w:p>
    <w:p>
      <w:pPr>
        <w:keepNext w:val="0"/>
        <w:spacing w:before="0" w:after="80" w:line="269" w:lineRule="auto"/>
      </w:pPr>
      <w:r>
        <w:rPr>
          <w:rFonts w:ascii="Arial" w:hAnsi="Arial"/>
          <w:b w:val="0"/>
          <w:color w:val="181818"/>
          <w:sz w:val="20"/>
        </w:rPr>
        <w:t>Use test data and constrained accounts, log every transition, protect credentials, stage read-only or approval modes where useful, and release to a limited group.</w:t>
      </w:r>
    </w:p>
    <w:p>
      <w:pPr>
        <w:keepNext w:val="0"/>
        <w:spacing w:before="0" w:after="140" w:line="269" w:lineRule="auto"/>
      </w:pPr>
      <w:r>
        <w:rPr>
          <w:rFonts w:ascii="Arial" w:hAnsi="Arial"/>
          <w:b/>
          <w:color w:val="181818"/>
          <w:sz w:val="18"/>
        </w:rPr>
        <w:t>Acceptance evidence: Versioned configuration, test records, audit events, deployment record, rollback method, and pilot results.</w:t>
      </w:r>
    </w:p>
    <w:p>
      <w:pPr>
        <w:keepNext/>
        <w:spacing w:before="200" w:after="120" w:line="269" w:lineRule="auto"/>
      </w:pPr>
      <w:r>
        <w:rPr>
          <w:rFonts w:ascii="Arial" w:hAnsi="Arial"/>
          <w:b/>
          <w:color w:val="9B792B"/>
          <w:sz w:val="24"/>
        </w:rPr>
        <w:t>04  Attack the assumptions</w:t>
      </w:r>
    </w:p>
    <w:p>
      <w:pPr>
        <w:keepNext w:val="0"/>
        <w:spacing w:before="0" w:after="80" w:line="269" w:lineRule="auto"/>
      </w:pPr>
      <w:r>
        <w:rPr>
          <w:rFonts w:ascii="Arial" w:hAnsi="Arial"/>
          <w:b w:val="0"/>
          <w:color w:val="181818"/>
          <w:sz w:val="20"/>
        </w:rPr>
        <w:t>Test duplicate, stale, missing, malformed, unauthorized, delayed, out-of-order, rate-limited, unavailable, partially completed, rollback, and manual completion cases.</w:t>
      </w:r>
    </w:p>
    <w:p>
      <w:pPr>
        <w:keepNext w:val="0"/>
        <w:spacing w:before="0" w:after="140" w:line="269" w:lineRule="auto"/>
      </w:pPr>
      <w:r>
        <w:rPr>
          <w:rFonts w:ascii="Arial" w:hAnsi="Arial"/>
          <w:b/>
          <w:color w:val="181818"/>
          <w:sz w:val="18"/>
        </w:rPr>
        <w:t>Acceptance evidence: Acceptance results, alert and audit samples, resolved exceptions, recovery time observations, and owner runbook.</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Current- and future-state workflow diagrams</w:t>
      </w:r>
    </w:p>
    <w:p>
      <w:pPr>
        <w:keepNext w:val="0"/>
        <w:spacing w:before="0" w:after="100" w:line="269" w:lineRule="auto"/>
        <w:ind w:left="187" w:hanging="187"/>
      </w:pPr>
      <w:r>
        <w:rPr>
          <w:rFonts w:ascii="Arial" w:hAnsi="Arial"/>
          <w:b w:val="0"/>
          <w:color w:val="181818"/>
          <w:sz w:val="20"/>
        </w:rPr>
        <w:t>•  Data contract, field mapping, rules, permissions, and owner matrix</w:t>
      </w:r>
    </w:p>
    <w:p>
      <w:pPr>
        <w:keepNext w:val="0"/>
        <w:spacing w:before="0" w:after="100" w:line="269" w:lineRule="auto"/>
        <w:ind w:left="187" w:hanging="187"/>
      </w:pPr>
      <w:r>
        <w:rPr>
          <w:rFonts w:ascii="Arial" w:hAnsi="Arial"/>
          <w:b w:val="0"/>
          <w:color w:val="181818"/>
          <w:sz w:val="20"/>
        </w:rPr>
        <w:t>•  Failure-mode, retry, rollback, reconciliation, and manual-fallback design</w:t>
      </w:r>
    </w:p>
    <w:p>
      <w:pPr>
        <w:keepNext w:val="0"/>
        <w:spacing w:before="0" w:after="100" w:line="269" w:lineRule="auto"/>
        <w:ind w:left="187" w:hanging="187"/>
      </w:pPr>
      <w:r>
        <w:rPr>
          <w:rFonts w:ascii="Arial" w:hAnsi="Arial"/>
          <w:b w:val="0"/>
          <w:color w:val="181818"/>
          <w:sz w:val="20"/>
        </w:rPr>
        <w:t>•  Normal, exception, security, load-bound, and recovery acceptance evidence</w:t>
      </w:r>
    </w:p>
    <w:p>
      <w:pPr>
        <w:keepNext w:val="0"/>
        <w:spacing w:before="0" w:after="100" w:line="269" w:lineRule="auto"/>
        <w:ind w:left="187" w:hanging="187"/>
      </w:pPr>
      <w:r>
        <w:rPr>
          <w:rFonts w:ascii="Arial" w:hAnsi="Arial"/>
          <w:b w:val="0"/>
          <w:color w:val="181818"/>
          <w:sz w:val="20"/>
        </w:rPr>
        <w:t>•  Version, monitoring, change, credential-owner, and operator runbook</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GHT-SVC-030 / OPERATIONAL AUTOMATION AND INTEGRATION</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Trigger, owner, frequency, volume, timing, business rule, and completion evidence</w:t>
      </w:r>
    </w:p>
    <w:p>
      <w:pPr>
        <w:keepNext w:val="0"/>
        <w:spacing w:before="0" w:after="100" w:line="269" w:lineRule="auto"/>
        <w:ind w:left="187" w:hanging="187"/>
      </w:pPr>
      <w:r>
        <w:rPr>
          <w:rFonts w:ascii="Arial" w:hAnsi="Arial"/>
          <w:b w:val="0"/>
          <w:color w:val="181818"/>
          <w:sz w:val="20"/>
        </w:rPr>
        <w:t>•  Systems of record, supported interfaces, schemas, identifiers, and data quality</w:t>
      </w:r>
    </w:p>
    <w:p>
      <w:pPr>
        <w:keepNext w:val="0"/>
        <w:spacing w:before="0" w:after="100" w:line="269" w:lineRule="auto"/>
        <w:ind w:left="187" w:hanging="187"/>
      </w:pPr>
      <w:r>
        <w:rPr>
          <w:rFonts w:ascii="Arial" w:hAnsi="Arial"/>
          <w:b w:val="0"/>
          <w:color w:val="181818"/>
          <w:sz w:val="20"/>
        </w:rPr>
        <w:t>•  Authentication, authorization, approvals, credential owner, rate limits, and retention</w:t>
      </w:r>
    </w:p>
    <w:p>
      <w:pPr>
        <w:keepNext w:val="0"/>
        <w:spacing w:before="0" w:after="100" w:line="269" w:lineRule="auto"/>
        <w:ind w:left="187" w:hanging="187"/>
      </w:pPr>
      <w:r>
        <w:rPr>
          <w:rFonts w:ascii="Arial" w:hAnsi="Arial"/>
          <w:b w:val="0"/>
          <w:color w:val="181818"/>
          <w:sz w:val="20"/>
        </w:rPr>
        <w:t>•  Duplicate, stale, missing, failed, partial, timeout, retry, rollback, and manual paths</w:t>
      </w:r>
    </w:p>
    <w:p>
      <w:pPr>
        <w:keepNext w:val="0"/>
        <w:spacing w:before="0" w:after="100" w:line="269" w:lineRule="auto"/>
        <w:ind w:left="187" w:hanging="187"/>
      </w:pPr>
      <w:r>
        <w:rPr>
          <w:rFonts w:ascii="Arial" w:hAnsi="Arial"/>
          <w:b w:val="0"/>
          <w:color w:val="181818"/>
          <w:sz w:val="20"/>
        </w:rPr>
        <w:t>•  Change windows, monitoring, alert routing, support ownership, test data, and acceptance metrics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Automation is limited by source-data quality, interface support, rate limits, licensing, and platform change</w:t>
      </w:r>
    </w:p>
    <w:p>
      <w:pPr>
        <w:keepNext w:val="0"/>
        <w:spacing w:before="0" w:after="100" w:line="269" w:lineRule="auto"/>
        <w:ind w:left="187" w:hanging="187"/>
      </w:pPr>
      <w:r>
        <w:rPr>
          <w:rFonts w:ascii="Arial" w:hAnsi="Arial"/>
          <w:b w:val="0"/>
          <w:color w:val="181818"/>
          <w:sz w:val="20"/>
        </w:rPr>
        <w:t>•  Credentials and service accounts require protected storage, least privilege, rotation, and named ownership; secret values should never appear in documentation</w:t>
      </w:r>
    </w:p>
    <w:p>
      <w:pPr>
        <w:keepNext w:val="0"/>
        <w:spacing w:before="0" w:after="100" w:line="269" w:lineRule="auto"/>
        <w:ind w:left="187" w:hanging="187"/>
      </w:pPr>
      <w:r>
        <w:rPr>
          <w:rFonts w:ascii="Arial" w:hAnsi="Arial"/>
          <w:b w:val="0"/>
          <w:color w:val="181818"/>
          <w:sz w:val="20"/>
        </w:rPr>
        <w:t>•  Automated external, financial, safety, or physical actions may require human approval and additional controls</w:t>
      </w:r>
    </w:p>
    <w:p>
      <w:pPr>
        <w:keepNext w:val="0"/>
        <w:spacing w:before="0" w:after="100" w:line="269" w:lineRule="auto"/>
        <w:ind w:left="187" w:hanging="187"/>
      </w:pPr>
      <w:r>
        <w:rPr>
          <w:rFonts w:ascii="Arial" w:hAnsi="Arial"/>
          <w:b w:val="0"/>
          <w:color w:val="181818"/>
          <w:sz w:val="20"/>
        </w:rPr>
        <w:t>•  A workflow can be technically available while producing an incorrect business result; outcome reconciliation remains necessary</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National Institute of Standards and Technology — SP 800-128: Security-Focused Configuration Management</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National Institute of Standards and Technology — SP 800-82 Rev. 3: Guide to Operational Technology Security</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SP 800-207: Zero Trust Architecture</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csrc.nist.gov/pubs/sp/800/128/upd1/final" TargetMode="External"/><Relationship Id="rId13" Type="http://schemas.openxmlformats.org/officeDocument/2006/relationships/hyperlink" Target="https://csrc.nist.gov/pubs/sp/800/82/r3/final" TargetMode="External"/><Relationship Id="rId14" Type="http://schemas.openxmlformats.org/officeDocument/2006/relationships/hyperlink" Target="https://csrc.nist.gov/pubs/sp/800/207/final" TargetMode="External"/><Relationship Id="rId15" Type="http://schemas.openxmlformats.org/officeDocument/2006/relationships/hyperlink" Target="https://ght.network/services/operational-systems/automation-integr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automation and integration — Service specification</dc:title>
  <dc:subject>Supported APIs, webhooks, files, records, alerts, approvals, schedules, and devices connect with validation, limited permissions, duplicate protection, logs, retries, and manual recovery.</dc:subject>
  <dc:creator>Glass House Technologies</dc:creator>
  <cp:keywords>Operational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