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OPERATIONAL SYSTEMS</w:t>
      </w:r>
    </w:p>
    <w:p>
      <w:pPr>
        <w:keepNext/>
        <w:spacing w:before="0" w:after="180" w:line="269" w:lineRule="auto"/>
      </w:pPr>
      <w:r>
        <w:rPr>
          <w:rFonts w:ascii="Arial" w:hAnsi="Arial"/>
          <w:b/>
          <w:color w:val="181818"/>
          <w:sz w:val="48"/>
        </w:rPr>
        <w:t>Audiovisual and collaboration systems</w:t>
      </w:r>
    </w:p>
    <w:p>
      <w:pPr>
        <w:keepNext w:val="0"/>
        <w:spacing w:before="0" w:after="240" w:line="269" w:lineRule="auto"/>
      </w:pPr>
      <w:r>
        <w:rPr>
          <w:rFonts w:ascii="Arial" w:hAnsi="Arial"/>
          <w:b w:val="0"/>
          <w:color w:val="646464"/>
          <w:sz w:val="17"/>
        </w:rPr>
        <w:t>GHT-SVC-026   •   Revision 1.0   •   06 September 2026   •   1 / 3</w:t>
      </w:r>
    </w:p>
    <w:p>
      <w:pPr>
        <w:keepNext w:val="0"/>
        <w:spacing w:before="0" w:after="180" w:line="269" w:lineRule="auto"/>
      </w:pPr>
      <w:r>
        <w:rPr>
          <w:rFonts w:ascii="Arial" w:hAnsi="Arial"/>
          <w:b w:val="0"/>
          <w:color w:val="181818"/>
          <w:sz w:val="22"/>
        </w:rPr>
        <w:t>Displays, cameras, microphones, speakers, acoustics, controls, meeting platforms, accounts, network, power, lighting, furniture, and support, coordinated as one room.</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room tested for starting, joining, sharing, hearing, seeing, control, common failure recovery, and remote-participant experience.</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AV and collaboration scope can include displays or projection, cameras, microphones, loudspeakers, digital signal processing, switching, room compute, user devices, control, scheduling, mounts, furniture coordination, acoustics, lighting, network, and remote management.</w:t>
      </w:r>
    </w:p>
    <w:p>
      <w:pPr>
        <w:keepNext w:val="0"/>
        <w:spacing w:before="0" w:after="120" w:line="269" w:lineRule="auto"/>
      </w:pPr>
      <w:r>
        <w:rPr>
          <w:rFonts w:ascii="Arial" w:hAnsi="Arial"/>
          <w:b w:val="0"/>
          <w:color w:val="181818"/>
          <w:sz w:val="20"/>
        </w:rPr>
        <w:t>The room should be designed from its use cases, such as meeting, training, presentation, hybrid instruction, divisible space, public meeting, or production. Platform certification, licensing, account ownership, accessibility, and support model are part of the system.</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People and room</w:t>
            </w:r>
          </w:p>
        </w:tc>
        <w:tc>
          <w:tcPr>
            <w:tcW w:type="dxa" w:w="7200"/>
            <w:shd w:fill="F4F1E9"/>
          </w:tcPr>
          <w:p>
            <w:pPr>
              <w:spacing w:before="100" w:after="100"/>
            </w:pPr>
            <w:r>
              <w:rPr>
                <w:rFonts w:ascii="Arial" w:hAnsi="Arial"/>
                <w:sz w:val="18"/>
              </w:rPr>
              <w:t>Use, seating, accessibility, sightlines, acoustics, lighting, furniture</w:t>
            </w:r>
          </w:p>
        </w:tc>
      </w:tr>
      <w:tr>
        <w:tc>
          <w:tcPr>
            <w:tcW w:type="dxa" w:w="2160"/>
            <w:shd w:fill="FFFFFF"/>
          </w:tcPr>
          <w:p>
            <w:pPr>
              <w:spacing w:before="100" w:after="100"/>
            </w:pPr>
            <w:r>
              <w:rPr>
                <w:rFonts w:ascii="Arial" w:hAnsi="Arial"/>
                <w:b/>
                <w:sz w:val="18"/>
              </w:rPr>
              <w:t>02  Capture and render</w:t>
            </w:r>
          </w:p>
        </w:tc>
        <w:tc>
          <w:tcPr>
            <w:tcW w:type="dxa" w:w="7200"/>
            <w:shd w:fill="FFFFFF"/>
          </w:tcPr>
          <w:p>
            <w:pPr>
              <w:spacing w:before="100" w:after="100"/>
            </w:pPr>
            <w:r>
              <w:rPr>
                <w:rFonts w:ascii="Arial" w:hAnsi="Arial"/>
                <w:sz w:val="18"/>
              </w:rPr>
              <w:t>Cameras, microphones, displays, projection, speakers</w:t>
            </w:r>
          </w:p>
        </w:tc>
      </w:tr>
      <w:tr>
        <w:tc>
          <w:tcPr>
            <w:tcW w:type="dxa" w:w="2160"/>
            <w:shd w:fill="F4F1E9"/>
          </w:tcPr>
          <w:p>
            <w:pPr>
              <w:spacing w:before="100" w:after="100"/>
            </w:pPr>
            <w:r>
              <w:rPr>
                <w:rFonts w:ascii="Arial" w:hAnsi="Arial"/>
                <w:b/>
                <w:sz w:val="18"/>
              </w:rPr>
              <w:t>03  Process and control</w:t>
            </w:r>
          </w:p>
        </w:tc>
        <w:tc>
          <w:tcPr>
            <w:tcW w:type="dxa" w:w="7200"/>
            <w:shd w:fill="F4F1E9"/>
          </w:tcPr>
          <w:p>
            <w:pPr>
              <w:spacing w:before="100" w:after="100"/>
            </w:pPr>
            <w:r>
              <w:rPr>
                <w:rFonts w:ascii="Arial" w:hAnsi="Arial"/>
                <w:sz w:val="18"/>
              </w:rPr>
              <w:t>Room compute, DSP, switching, presets, touch or button interface</w:t>
            </w:r>
          </w:p>
        </w:tc>
      </w:tr>
      <w:tr>
        <w:tc>
          <w:tcPr>
            <w:tcW w:type="dxa" w:w="2160"/>
            <w:shd w:fill="FFFFFF"/>
          </w:tcPr>
          <w:p>
            <w:pPr>
              <w:spacing w:before="100" w:after="100"/>
            </w:pPr>
            <w:r>
              <w:rPr>
                <w:rFonts w:ascii="Arial" w:hAnsi="Arial"/>
                <w:b/>
                <w:sz w:val="18"/>
              </w:rPr>
              <w:t>04  Platform and operations</w:t>
            </w:r>
          </w:p>
        </w:tc>
        <w:tc>
          <w:tcPr>
            <w:tcW w:type="dxa" w:w="7200"/>
            <w:shd w:fill="FFFFFF"/>
          </w:tcPr>
          <w:p>
            <w:pPr>
              <w:spacing w:before="100" w:after="100"/>
            </w:pPr>
            <w:r>
              <w:rPr>
                <w:rFonts w:ascii="Arial" w:hAnsi="Arial"/>
                <w:sz w:val="18"/>
              </w:rPr>
              <w:t>Meeting service, accounts, licensing, network, monitoring, support</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Remote participants cannot hear questions or see the active speaker or content</w:t>
      </w:r>
    </w:p>
    <w:p>
      <w:pPr>
        <w:keepNext w:val="0"/>
        <w:spacing w:before="0" w:after="100" w:line="269" w:lineRule="auto"/>
        <w:ind w:left="187" w:hanging="187"/>
      </w:pPr>
      <w:r>
        <w:rPr>
          <w:rFonts w:ascii="Arial" w:hAnsi="Arial"/>
          <w:b w:val="0"/>
          <w:color w:val="181818"/>
          <w:sz w:val="20"/>
        </w:rPr>
        <w:t>•  Every meeting begins with adapters, remotes, or input troubleshooting</w:t>
      </w:r>
    </w:p>
    <w:p>
      <w:pPr>
        <w:keepNext w:val="0"/>
        <w:spacing w:before="0" w:after="100" w:line="269" w:lineRule="auto"/>
        <w:ind w:left="187" w:hanging="187"/>
      </w:pPr>
      <w:r>
        <w:rPr>
          <w:rFonts w:ascii="Arial" w:hAnsi="Arial"/>
          <w:b w:val="0"/>
          <w:color w:val="181818"/>
          <w:sz w:val="20"/>
        </w:rPr>
        <w:t>•  Room accounts, licenses, firmware, and support ownership are unclear</w:t>
      </w:r>
    </w:p>
    <w:p>
      <w:pPr>
        <w:keepNext w:val="0"/>
        <w:spacing w:before="0" w:after="100" w:line="269" w:lineRule="auto"/>
        <w:ind w:left="187" w:hanging="187"/>
      </w:pPr>
      <w:r>
        <w:rPr>
          <w:rFonts w:ascii="Arial" w:hAnsi="Arial"/>
          <w:b w:val="0"/>
          <w:color w:val="181818"/>
          <w:sz w:val="20"/>
        </w:rPr>
        <w:t>•  A remodel changes seating, lighting, acoustics, furniture, or room purpose</w:t>
      </w:r>
    </w:p>
    <w:p>
      <w:r>
        <w:br w:type="page"/>
      </w:r>
    </w:p>
    <w:p>
      <w:pPr>
        <w:keepNext/>
        <w:spacing w:before="1200" w:after="160" w:line="269" w:lineRule="auto"/>
      </w:pPr>
      <w:r>
        <w:rPr>
          <w:rFonts w:ascii="Arial" w:hAnsi="Arial"/>
          <w:b/>
          <w:color w:val="9B792B"/>
          <w:sz w:val="18"/>
        </w:rPr>
        <w:t>GHT-SVC-026 / AUDIOVISUAL AND COLLABORATION SYSTEMS</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Observe the room and meeting</w:t>
      </w:r>
    </w:p>
    <w:p>
      <w:pPr>
        <w:keepNext w:val="0"/>
        <w:spacing w:before="0" w:after="80" w:line="269" w:lineRule="auto"/>
      </w:pPr>
      <w:r>
        <w:rPr>
          <w:rFonts w:ascii="Arial" w:hAnsi="Arial"/>
          <w:b w:val="0"/>
          <w:color w:val="181818"/>
          <w:sz w:val="20"/>
        </w:rPr>
        <w:t>Document room use, seating, participant count, platforms, content, camera framing, speech, acoustics, light, accessibility, furniture, and support incidents.</w:t>
      </w:r>
    </w:p>
    <w:p>
      <w:pPr>
        <w:keepNext w:val="0"/>
        <w:spacing w:before="0" w:after="140" w:line="269" w:lineRule="auto"/>
      </w:pPr>
      <w:r>
        <w:rPr>
          <w:rFonts w:ascii="Arial" w:hAnsi="Arial"/>
          <w:b/>
          <w:color w:val="181818"/>
          <w:sz w:val="18"/>
        </w:rPr>
        <w:t>Acceptance evidence: Use-case matrix, room survey, seating and sightline notes, platform list, and representative failure stories.</w:t>
      </w:r>
    </w:p>
    <w:p>
      <w:pPr>
        <w:keepNext/>
        <w:spacing w:before="200" w:after="120" w:line="269" w:lineRule="auto"/>
      </w:pPr>
      <w:r>
        <w:rPr>
          <w:rFonts w:ascii="Arial" w:hAnsi="Arial"/>
          <w:b/>
          <w:color w:val="9B792B"/>
          <w:sz w:val="24"/>
        </w:rPr>
        <w:t>02  Engineer the experience</w:t>
      </w:r>
    </w:p>
    <w:p>
      <w:pPr>
        <w:keepNext w:val="0"/>
        <w:spacing w:before="0" w:after="80" w:line="269" w:lineRule="auto"/>
      </w:pPr>
      <w:r>
        <w:rPr>
          <w:rFonts w:ascii="Arial" w:hAnsi="Arial"/>
          <w:b w:val="0"/>
          <w:color w:val="181818"/>
          <w:sz w:val="20"/>
        </w:rPr>
        <w:t>Size and place displays, cameras, microphones and speakers; select compute, switching and control; coordinate acoustics, lighting, network, power, mounts, and furniture.</w:t>
      </w:r>
    </w:p>
    <w:p>
      <w:pPr>
        <w:keepNext w:val="0"/>
        <w:spacing w:before="0" w:after="140" w:line="269" w:lineRule="auto"/>
      </w:pPr>
      <w:r>
        <w:rPr>
          <w:rFonts w:ascii="Arial" w:hAnsi="Arial"/>
          <w:b/>
          <w:color w:val="181818"/>
          <w:sz w:val="18"/>
        </w:rPr>
        <w:t>Acceptance evidence: Signal-flow diagram, device and mount plan, sightline and pickup rationale, rack/power/network schedule, and control narrative.</w:t>
      </w:r>
    </w:p>
    <w:p>
      <w:pPr>
        <w:keepNext/>
        <w:spacing w:before="200" w:after="120" w:line="269" w:lineRule="auto"/>
      </w:pPr>
      <w:r>
        <w:rPr>
          <w:rFonts w:ascii="Arial" w:hAnsi="Arial"/>
          <w:b/>
          <w:color w:val="9B792B"/>
          <w:sz w:val="24"/>
        </w:rPr>
        <w:t>03  Build and commission</w:t>
      </w:r>
    </w:p>
    <w:p>
      <w:pPr>
        <w:keepNext w:val="0"/>
        <w:spacing w:before="0" w:after="80" w:line="269" w:lineRule="auto"/>
      </w:pPr>
      <w:r>
        <w:rPr>
          <w:rFonts w:ascii="Arial" w:hAnsi="Arial"/>
          <w:b w:val="0"/>
          <w:color w:val="181818"/>
          <w:sz w:val="20"/>
        </w:rPr>
        <w:t>Install, label, update, configure, tune audio, frame cameras, program controls, establish accounts and monitoring, and create user presets.</w:t>
      </w:r>
    </w:p>
    <w:p>
      <w:pPr>
        <w:keepNext w:val="0"/>
        <w:spacing w:before="0" w:after="140" w:line="269" w:lineRule="auto"/>
      </w:pPr>
      <w:r>
        <w:rPr>
          <w:rFonts w:ascii="Arial" w:hAnsi="Arial"/>
          <w:b/>
          <w:color w:val="181818"/>
          <w:sz w:val="18"/>
        </w:rPr>
        <w:t>Acceptance evidence: Labeled system, configuration backups, audio and camera settings, account-owner record, and installation photos.</w:t>
      </w:r>
    </w:p>
    <w:p>
      <w:pPr>
        <w:keepNext/>
        <w:spacing w:before="200" w:after="120" w:line="269" w:lineRule="auto"/>
      </w:pPr>
      <w:r>
        <w:rPr>
          <w:rFonts w:ascii="Arial" w:hAnsi="Arial"/>
          <w:b/>
          <w:color w:val="9B792B"/>
          <w:sz w:val="24"/>
        </w:rPr>
        <w:t>04  Run real meetings</w:t>
      </w:r>
    </w:p>
    <w:p>
      <w:pPr>
        <w:keepNext w:val="0"/>
        <w:spacing w:before="0" w:after="80" w:line="269" w:lineRule="auto"/>
      </w:pPr>
      <w:r>
        <w:rPr>
          <w:rFonts w:ascii="Arial" w:hAnsi="Arial"/>
          <w:b w:val="0"/>
          <w:color w:val="181818"/>
          <w:sz w:val="20"/>
        </w:rPr>
        <w:t>Test start, join, share, camera, microphone, content audio, remote speech, local reinforcement where used, common failure recovery, and user handoff.</w:t>
      </w:r>
    </w:p>
    <w:p>
      <w:pPr>
        <w:keepNext w:val="0"/>
        <w:spacing w:before="0" w:after="140" w:line="269" w:lineRule="auto"/>
      </w:pPr>
      <w:r>
        <w:rPr>
          <w:rFonts w:ascii="Arial" w:hAnsi="Arial"/>
          <w:b/>
          <w:color w:val="181818"/>
          <w:sz w:val="18"/>
        </w:rPr>
        <w:t>Acceptance evidence: Scenario acceptance results, representative room measurements or observations, remote-participant confirmation, quick-start guide, and punch list.</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Use-case and user-journey matrix</w:t>
      </w:r>
    </w:p>
    <w:p>
      <w:pPr>
        <w:keepNext w:val="0"/>
        <w:spacing w:before="0" w:after="100" w:line="269" w:lineRule="auto"/>
        <w:ind w:left="187" w:hanging="187"/>
      </w:pPr>
      <w:r>
        <w:rPr>
          <w:rFonts w:ascii="Arial" w:hAnsi="Arial"/>
          <w:b w:val="0"/>
          <w:color w:val="181818"/>
          <w:sz w:val="20"/>
        </w:rPr>
        <w:t>•  Signal flow, elevations, reflected device plan, and rack schedule</w:t>
      </w:r>
    </w:p>
    <w:p>
      <w:pPr>
        <w:keepNext w:val="0"/>
        <w:spacing w:before="0" w:after="100" w:line="269" w:lineRule="auto"/>
        <w:ind w:left="187" w:hanging="187"/>
      </w:pPr>
      <w:r>
        <w:rPr>
          <w:rFonts w:ascii="Arial" w:hAnsi="Arial"/>
          <w:b w:val="0"/>
          <w:color w:val="181818"/>
          <w:sz w:val="20"/>
        </w:rPr>
        <w:t>•  Control narrative, platform/account model, and configuration backups</w:t>
      </w:r>
    </w:p>
    <w:p>
      <w:pPr>
        <w:keepNext w:val="0"/>
        <w:spacing w:before="0" w:after="100" w:line="269" w:lineRule="auto"/>
        <w:ind w:left="187" w:hanging="187"/>
      </w:pPr>
      <w:r>
        <w:rPr>
          <w:rFonts w:ascii="Arial" w:hAnsi="Arial"/>
          <w:b w:val="0"/>
          <w:color w:val="181818"/>
          <w:sz w:val="20"/>
        </w:rPr>
        <w:t>•  Scenario-based performance and recovery acceptance evidence</w:t>
      </w:r>
    </w:p>
    <w:p>
      <w:pPr>
        <w:keepNext w:val="0"/>
        <w:spacing w:before="0" w:after="100" w:line="269" w:lineRule="auto"/>
        <w:ind w:left="187" w:hanging="187"/>
      </w:pPr>
      <w:r>
        <w:rPr>
          <w:rFonts w:ascii="Arial" w:hAnsi="Arial"/>
          <w:b w:val="0"/>
          <w:color w:val="181818"/>
          <w:sz w:val="20"/>
        </w:rPr>
        <w:t>•  Quick-start guide, administrator documentation, asset list, and support handoff</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GHT-SVC-026 / AUDIOVISUAL AND COLLABORATION SYSTEMS</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Room use cases, participant count, seating, platforms, and supported user devices</w:t>
      </w:r>
    </w:p>
    <w:p>
      <w:pPr>
        <w:keepNext w:val="0"/>
        <w:spacing w:before="0" w:after="100" w:line="269" w:lineRule="auto"/>
        <w:ind w:left="187" w:hanging="187"/>
      </w:pPr>
      <w:r>
        <w:rPr>
          <w:rFonts w:ascii="Arial" w:hAnsi="Arial"/>
          <w:b w:val="0"/>
          <w:color w:val="181818"/>
          <w:sz w:val="20"/>
        </w:rPr>
        <w:t>•  Speech, content, camera framing, sightlines, accessibility, acoustics, and lighting</w:t>
      </w:r>
    </w:p>
    <w:p>
      <w:pPr>
        <w:keepNext w:val="0"/>
        <w:spacing w:before="0" w:after="100" w:line="269" w:lineRule="auto"/>
        <w:ind w:left="187" w:hanging="187"/>
      </w:pPr>
      <w:r>
        <w:rPr>
          <w:rFonts w:ascii="Arial" w:hAnsi="Arial"/>
          <w:b w:val="0"/>
          <w:color w:val="181818"/>
          <w:sz w:val="20"/>
        </w:rPr>
        <w:t>•  Display or projection surface, mounts, furniture, pathways, power, and rack location</w:t>
      </w:r>
    </w:p>
    <w:p>
      <w:pPr>
        <w:keepNext w:val="0"/>
        <w:spacing w:before="0" w:after="100" w:line="269" w:lineRule="auto"/>
        <w:ind w:left="187" w:hanging="187"/>
      </w:pPr>
      <w:r>
        <w:rPr>
          <w:rFonts w:ascii="Arial" w:hAnsi="Arial"/>
          <w:b w:val="0"/>
          <w:color w:val="181818"/>
          <w:sz w:val="20"/>
        </w:rPr>
        <w:t>•  Network, account, licensing, calendar, security, and remote-management requirements</w:t>
      </w:r>
    </w:p>
    <w:p>
      <w:pPr>
        <w:keepNext w:val="0"/>
        <w:spacing w:before="0" w:after="100" w:line="269" w:lineRule="auto"/>
        <w:ind w:left="187" w:hanging="187"/>
      </w:pPr>
      <w:r>
        <w:rPr>
          <w:rFonts w:ascii="Arial" w:hAnsi="Arial"/>
          <w:b w:val="0"/>
          <w:color w:val="181818"/>
          <w:sz w:val="20"/>
        </w:rPr>
        <w:t>•  Support owner, help path, operating hours, spares, and refresh expectations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Acoustic treatment, lighting, shades, furniture, structure, and electrical work may require separate disciplines</w:t>
      </w:r>
    </w:p>
    <w:p>
      <w:pPr>
        <w:keepNext w:val="0"/>
        <w:spacing w:before="0" w:after="100" w:line="269" w:lineRule="auto"/>
        <w:ind w:left="187" w:hanging="187"/>
      </w:pPr>
      <w:r>
        <w:rPr>
          <w:rFonts w:ascii="Arial" w:hAnsi="Arial"/>
          <w:b w:val="0"/>
          <w:color w:val="181818"/>
          <w:sz w:val="20"/>
        </w:rPr>
        <w:t>•  Platform certification and supported features can vary by model, software version, tenant configuration, and license</w:t>
      </w:r>
    </w:p>
    <w:p>
      <w:pPr>
        <w:keepNext w:val="0"/>
        <w:spacing w:before="0" w:after="100" w:line="269" w:lineRule="auto"/>
        <w:ind w:left="187" w:hanging="187"/>
      </w:pPr>
      <w:r>
        <w:rPr>
          <w:rFonts w:ascii="Arial" w:hAnsi="Arial"/>
          <w:b w:val="0"/>
          <w:color w:val="181818"/>
          <w:sz w:val="20"/>
        </w:rPr>
        <w:t>•  Wireless sharing and user devices introduce compatibility, security, and support variables</w:t>
      </w:r>
    </w:p>
    <w:p>
      <w:pPr>
        <w:keepNext w:val="0"/>
        <w:spacing w:before="0" w:after="100" w:line="269" w:lineRule="auto"/>
        <w:ind w:left="187" w:hanging="187"/>
      </w:pPr>
      <w:r>
        <w:rPr>
          <w:rFonts w:ascii="Arial" w:hAnsi="Arial"/>
          <w:b w:val="0"/>
          <w:color w:val="181818"/>
          <w:sz w:val="20"/>
        </w:rPr>
        <w:t>•  A successful bench test does not prove camera framing, speech pickup, sightlines, or usability in the finished room</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AVIXA — Published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World Wide Web Consortium — Web Content Accessibility Guidelines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National Institute of Standards and Technology — SP 800-128: Security-Focused Configuration Management</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avixa.org/resources/standards/published-standards" TargetMode="External"/><Relationship Id="rId13" Type="http://schemas.openxmlformats.org/officeDocument/2006/relationships/hyperlink" Target="https://www.w3.org/WAI/standards-guidelines/wcag/" TargetMode="External"/><Relationship Id="rId14" Type="http://schemas.openxmlformats.org/officeDocument/2006/relationships/hyperlink" Target="https://csrc.nist.gov/pubs/sp/800/128/upd1/final" TargetMode="External"/><Relationship Id="rId15" Type="http://schemas.openxmlformats.org/officeDocument/2006/relationships/hyperlink" Target="https://ght.network/services/operational-systems/av-collabor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Audiovisual and collaboration systems — Service specification</dc:title>
  <dc:subject>Displays, cameras, microphones, speakers, acoustics, controls, meeting platforms, accounts, network, power, lighting, furniture, and support, coordinated as one room.</dc:subject>
  <dc:creator>Glass House Technologies</dc:creator>
  <cp:keywords>Operational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