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MANAGED OPERATIONS</w:t>
      </w:r>
    </w:p>
    <w:p>
      <w:pPr>
        <w:keepNext/>
        <w:spacing w:before="0" w:after="180" w:line="269" w:lineRule="auto"/>
      </w:pPr>
      <w:r>
        <w:rPr>
          <w:rFonts w:ascii="Arial" w:hAnsi="Arial"/>
          <w:b/>
          <w:color w:val="181818"/>
          <w:sz w:val="48"/>
        </w:rPr>
        <w:t>Break-fix triage and field dispatch</w:t>
      </w:r>
    </w:p>
    <w:p>
      <w:pPr>
        <w:keepNext w:val="0"/>
        <w:spacing w:before="0" w:after="240" w:line="269" w:lineRule="auto"/>
      </w:pPr>
      <w:r>
        <w:rPr>
          <w:rFonts w:ascii="Arial" w:hAnsi="Arial"/>
          <w:b w:val="0"/>
          <w:color w:val="646464"/>
          <w:sz w:val="17"/>
        </w:rPr>
        <w:t>GHT-SVC-034   •   Revision 1.0   •   06 September 2026   •   1 / 3</w:t>
      </w:r>
    </w:p>
    <w:p>
      <w:pPr>
        <w:keepNext w:val="0"/>
        <w:spacing w:before="0" w:after="180" w:line="269" w:lineRule="auto"/>
      </w:pPr>
      <w:r>
        <w:rPr>
          <w:rFonts w:ascii="Arial" w:hAnsi="Arial"/>
          <w:b w:val="0"/>
          <w:color w:val="181818"/>
          <w:sz w:val="22"/>
        </w:rPr>
        <w:t>Incident intake, remote checks, site access, vendor boundaries, technician skills, tools, parts, field work, acceptance testing, and cause notes form one connected path; timing, travel, and rates stay contract-specific.</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A complete incident record from the first symptom through triage, field work, tested restoration, owner confirmation, asset updates, and preventive follow-up.</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Break-fix begins with a symptom, not a diagnosis. Triage distinguishes user, endpoint, cable, power, network, carrier, platform, account, vendor, environmental, and change-related causes before deciding whether remote work, customer action, vendor escalation, or field dispatch is appropriate.</w:t>
      </w:r>
    </w:p>
    <w:p>
      <w:pPr>
        <w:keepNext w:val="0"/>
        <w:spacing w:before="0" w:after="120" w:line="269" w:lineRule="auto"/>
      </w:pPr>
      <w:r>
        <w:rPr>
          <w:rFonts w:ascii="Arial" w:hAnsi="Arial"/>
          <w:b w:val="0"/>
          <w:color w:val="181818"/>
          <w:sz w:val="20"/>
        </w:rPr>
        <w:t>A field visit needs a site contact, access window, safety conditions, asset and location, known-good test, scope authority, parts plan, escalation contact, and restoration criteria. Coverage, arrival targets, travel, minimums, after-hours rates, parts, and third-party delays are contract-specific.</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Intake</w:t>
            </w:r>
          </w:p>
        </w:tc>
        <w:tc>
          <w:tcPr>
            <w:tcW w:type="dxa" w:w="7200"/>
            <w:shd w:fill="F4F1E9"/>
          </w:tcPr>
          <w:p>
            <w:pPr>
              <w:spacing w:before="100" w:after="100"/>
            </w:pPr>
            <w:r>
              <w:rPr>
                <w:rFonts w:ascii="Arial" w:hAnsi="Arial"/>
                <w:sz w:val="18"/>
              </w:rPr>
              <w:t>Reporter, site, time, symptom, impact, service, safety, contacts and access</w:t>
            </w:r>
          </w:p>
        </w:tc>
      </w:tr>
      <w:tr>
        <w:tc>
          <w:tcPr>
            <w:tcW w:type="dxa" w:w="2160"/>
            <w:shd w:fill="FFFFFF"/>
          </w:tcPr>
          <w:p>
            <w:pPr>
              <w:spacing w:before="100" w:after="100"/>
            </w:pPr>
            <w:r>
              <w:rPr>
                <w:rFonts w:ascii="Arial" w:hAnsi="Arial"/>
                <w:b/>
                <w:sz w:val="18"/>
              </w:rPr>
              <w:t>02  Triage</w:t>
            </w:r>
          </w:p>
        </w:tc>
        <w:tc>
          <w:tcPr>
            <w:tcW w:type="dxa" w:w="7200"/>
            <w:shd w:fill="FFFFFF"/>
          </w:tcPr>
          <w:p>
            <w:pPr>
              <w:spacing w:before="100" w:after="100"/>
            </w:pPr>
            <w:r>
              <w:rPr>
                <w:rFonts w:ascii="Arial" w:hAnsi="Arial"/>
                <w:sz w:val="18"/>
              </w:rPr>
              <w:t>Dependencies, monitoring, history, remote tests, owner, severity and escalation</w:t>
            </w:r>
          </w:p>
        </w:tc>
      </w:tr>
      <w:tr>
        <w:tc>
          <w:tcPr>
            <w:tcW w:type="dxa" w:w="2160"/>
            <w:shd w:fill="F4F1E9"/>
          </w:tcPr>
          <w:p>
            <w:pPr>
              <w:spacing w:before="100" w:after="100"/>
            </w:pPr>
            <w:r>
              <w:rPr>
                <w:rFonts w:ascii="Arial" w:hAnsi="Arial"/>
                <w:b/>
                <w:sz w:val="18"/>
              </w:rPr>
              <w:t>03  Field mission</w:t>
            </w:r>
          </w:p>
        </w:tc>
        <w:tc>
          <w:tcPr>
            <w:tcW w:type="dxa" w:w="7200"/>
            <w:shd w:fill="F4F1E9"/>
          </w:tcPr>
          <w:p>
            <w:pPr>
              <w:spacing w:before="100" w:after="100"/>
            </w:pPr>
            <w:r>
              <w:rPr>
                <w:rFonts w:ascii="Arial" w:hAnsi="Arial"/>
                <w:sz w:val="18"/>
              </w:rPr>
              <w:t>Skill, tools, parts, site window, work authority, stop conditions and remote bridge</w:t>
            </w:r>
          </w:p>
        </w:tc>
      </w:tr>
      <w:tr>
        <w:tc>
          <w:tcPr>
            <w:tcW w:type="dxa" w:w="2160"/>
            <w:shd w:fill="FFFFFF"/>
          </w:tcPr>
          <w:p>
            <w:pPr>
              <w:spacing w:before="100" w:after="100"/>
            </w:pPr>
            <w:r>
              <w:rPr>
                <w:rFonts w:ascii="Arial" w:hAnsi="Arial"/>
                <w:b/>
                <w:sz w:val="18"/>
              </w:rPr>
              <w:t>04  Restoration evidence</w:t>
            </w:r>
          </w:p>
        </w:tc>
        <w:tc>
          <w:tcPr>
            <w:tcW w:type="dxa" w:w="7200"/>
            <w:shd w:fill="FFFFFF"/>
          </w:tcPr>
          <w:p>
            <w:pPr>
              <w:spacing w:before="100" w:after="100"/>
            </w:pPr>
            <w:r>
              <w:rPr>
                <w:rFonts w:ascii="Arial" w:hAnsi="Arial"/>
                <w:sz w:val="18"/>
              </w:rPr>
              <w:t>Service test, readings, photos, config, parts, cause, owner acceptance and prevention</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Repeat dispatches close with “working now” but no tests, cause, or change record</w:t>
      </w:r>
    </w:p>
    <w:p>
      <w:pPr>
        <w:keepNext w:val="0"/>
        <w:spacing w:before="0" w:after="100" w:line="269" w:lineRule="auto"/>
        <w:ind w:left="187" w:hanging="187"/>
      </w:pPr>
      <w:r>
        <w:rPr>
          <w:rFonts w:ascii="Arial" w:hAnsi="Arial"/>
          <w:b w:val="0"/>
          <w:color w:val="181818"/>
          <w:sz w:val="20"/>
        </w:rPr>
        <w:t>•  Technicians arrive without site access, owner contacts, parts, drawings, or acceptance criteria</w:t>
      </w:r>
    </w:p>
    <w:p>
      <w:pPr>
        <w:keepNext w:val="0"/>
        <w:spacing w:before="0" w:after="100" w:line="269" w:lineRule="auto"/>
        <w:ind w:left="187" w:hanging="187"/>
      </w:pPr>
      <w:r>
        <w:rPr>
          <w:rFonts w:ascii="Arial" w:hAnsi="Arial"/>
          <w:b w:val="0"/>
          <w:color w:val="181818"/>
          <w:sz w:val="20"/>
        </w:rPr>
        <w:t>•  Carrier, landlord, platform, equipment, and cabling ownership is disputed during an outage</w:t>
      </w:r>
    </w:p>
    <w:p>
      <w:pPr>
        <w:keepNext w:val="0"/>
        <w:spacing w:before="0" w:after="100" w:line="269" w:lineRule="auto"/>
        <w:ind w:left="187" w:hanging="187"/>
      </w:pPr>
      <w:r>
        <w:rPr>
          <w:rFonts w:ascii="Arial" w:hAnsi="Arial"/>
          <w:b w:val="0"/>
          <w:color w:val="181818"/>
          <w:sz w:val="20"/>
        </w:rPr>
        <w:t>•  Remote teams cannot see current topology, labels, serials, photos, or configuration history</w:t>
      </w:r>
    </w:p>
    <w:p>
      <w:r>
        <w:br w:type="page"/>
      </w:r>
    </w:p>
    <w:p>
      <w:pPr>
        <w:keepNext/>
        <w:spacing w:before="1200" w:after="160" w:line="269" w:lineRule="auto"/>
      </w:pPr>
      <w:r>
        <w:rPr>
          <w:rFonts w:ascii="Arial" w:hAnsi="Arial"/>
          <w:b/>
          <w:color w:val="9B792B"/>
          <w:sz w:val="18"/>
        </w:rPr>
        <w:t>GHT-SVC-034 / BREAK-FIX TRIAGE AND FIELD DISPATCH</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Qualify the incident</w:t>
      </w:r>
    </w:p>
    <w:p>
      <w:pPr>
        <w:keepNext w:val="0"/>
        <w:spacing w:before="0" w:after="80" w:line="269" w:lineRule="auto"/>
      </w:pPr>
      <w:r>
        <w:rPr>
          <w:rFonts w:ascii="Arial" w:hAnsi="Arial"/>
          <w:b w:val="0"/>
          <w:color w:val="181818"/>
          <w:sz w:val="20"/>
        </w:rPr>
        <w:t>Capture reporter, time, site, affected service and users, symptoms, scope, recent changes, alarms, safety, business impact, contacts, access, and current workaround.</w:t>
      </w:r>
    </w:p>
    <w:p>
      <w:pPr>
        <w:keepNext w:val="0"/>
        <w:spacing w:before="0" w:after="140" w:line="269" w:lineRule="auto"/>
      </w:pPr>
      <w:r>
        <w:rPr>
          <w:rFonts w:ascii="Arial" w:hAnsi="Arial"/>
          <w:b/>
          <w:color w:val="181818"/>
          <w:sz w:val="18"/>
        </w:rPr>
        <w:t>Acceptance evidence: Timestamped incident record, impact statement, symptom evidence, change context, contacts, and severity under the contracted model.</w:t>
      </w:r>
    </w:p>
    <w:p>
      <w:pPr>
        <w:keepNext/>
        <w:spacing w:before="200" w:after="120" w:line="269" w:lineRule="auto"/>
      </w:pPr>
      <w:r>
        <w:rPr>
          <w:rFonts w:ascii="Arial" w:hAnsi="Arial"/>
          <w:b/>
          <w:color w:val="9B792B"/>
          <w:sz w:val="24"/>
        </w:rPr>
        <w:t>02  Triage dependencies</w:t>
      </w:r>
    </w:p>
    <w:p>
      <w:pPr>
        <w:keepNext w:val="0"/>
        <w:spacing w:before="0" w:after="80" w:line="269" w:lineRule="auto"/>
      </w:pPr>
      <w:r>
        <w:rPr>
          <w:rFonts w:ascii="Arial" w:hAnsi="Arial"/>
          <w:b w:val="0"/>
          <w:color w:val="181818"/>
          <w:sz w:val="20"/>
        </w:rPr>
        <w:t>Use approved remote checks, topology, monitoring, power, link, configuration, carrier, account, and vendor evidence to isolate the likely layer and define the next safe test.</w:t>
      </w:r>
    </w:p>
    <w:p>
      <w:pPr>
        <w:keepNext w:val="0"/>
        <w:spacing w:before="0" w:after="140" w:line="269" w:lineRule="auto"/>
      </w:pPr>
      <w:r>
        <w:rPr>
          <w:rFonts w:ascii="Arial" w:hAnsi="Arial"/>
          <w:b/>
          <w:color w:val="181818"/>
          <w:sz w:val="18"/>
        </w:rPr>
        <w:t>Acceptance evidence: Triage timeline, tested hypotheses and results, dependency owner, escalation record, and dispatch decision.</w:t>
      </w:r>
    </w:p>
    <w:p>
      <w:pPr>
        <w:keepNext/>
        <w:spacing w:before="200" w:after="120" w:line="269" w:lineRule="auto"/>
      </w:pPr>
      <w:r>
        <w:rPr>
          <w:rFonts w:ascii="Arial" w:hAnsi="Arial"/>
          <w:b/>
          <w:color w:val="9B792B"/>
          <w:sz w:val="24"/>
        </w:rPr>
        <w:t>03  Dispatch a defined task</w:t>
      </w:r>
    </w:p>
    <w:p>
      <w:pPr>
        <w:keepNext w:val="0"/>
        <w:spacing w:before="0" w:after="80" w:line="269" w:lineRule="auto"/>
      </w:pPr>
      <w:r>
        <w:rPr>
          <w:rFonts w:ascii="Arial" w:hAnsi="Arial"/>
          <w:b w:val="0"/>
          <w:color w:val="181818"/>
          <w:sz w:val="20"/>
        </w:rPr>
        <w:t>Send site, contact, access, safety, asset, tools, parts, remote bridge, method, stop conditions, change authority, and acceptance tests to the assigned field resource.</w:t>
      </w:r>
    </w:p>
    <w:p>
      <w:pPr>
        <w:keepNext w:val="0"/>
        <w:spacing w:before="0" w:after="140" w:line="269" w:lineRule="auto"/>
      </w:pPr>
      <w:r>
        <w:rPr>
          <w:rFonts w:ascii="Arial" w:hAnsi="Arial"/>
          <w:b/>
          <w:color w:val="181818"/>
          <w:sz w:val="18"/>
        </w:rPr>
        <w:t>Acceptance evidence: Dispatch brief, acknowledgement, part custody, arrival and access record, before photos, tests, and approved changes.</w:t>
      </w:r>
    </w:p>
    <w:p>
      <w:pPr>
        <w:keepNext/>
        <w:spacing w:before="200" w:after="120" w:line="269" w:lineRule="auto"/>
      </w:pPr>
      <w:r>
        <w:rPr>
          <w:rFonts w:ascii="Arial" w:hAnsi="Arial"/>
          <w:b/>
          <w:color w:val="9B792B"/>
          <w:sz w:val="24"/>
        </w:rPr>
        <w:t>04  Prove restoration and learn</w:t>
      </w:r>
    </w:p>
    <w:p>
      <w:pPr>
        <w:keepNext w:val="0"/>
        <w:spacing w:before="0" w:after="80" w:line="269" w:lineRule="auto"/>
      </w:pPr>
      <w:r>
        <w:rPr>
          <w:rFonts w:ascii="Arial" w:hAnsi="Arial"/>
          <w:b w:val="0"/>
          <w:color w:val="181818"/>
          <w:sz w:val="20"/>
        </w:rPr>
        <w:t>Validate the affected service with the owner, capture final readings and configuration, update assets and labels, document temporary or permanent repair, and open preventive follow-up.</w:t>
      </w:r>
    </w:p>
    <w:p>
      <w:pPr>
        <w:keepNext w:val="0"/>
        <w:spacing w:before="0" w:after="140" w:line="269" w:lineRule="auto"/>
      </w:pPr>
      <w:r>
        <w:rPr>
          <w:rFonts w:ascii="Arial" w:hAnsi="Arial"/>
          <w:b/>
          <w:color w:val="181818"/>
          <w:sz w:val="18"/>
        </w:rPr>
        <w:t>Acceptance evidence: Owner-confirmed service test, after photos, test results, parts and change record, cause classification, exceptions, and follow-up owner.</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Incident intake, severity, escalation, and dispatch model</w:t>
      </w:r>
    </w:p>
    <w:p>
      <w:pPr>
        <w:keepNext w:val="0"/>
        <w:spacing w:before="0" w:after="100" w:line="269" w:lineRule="auto"/>
        <w:ind w:left="187" w:hanging="187"/>
      </w:pPr>
      <w:r>
        <w:rPr>
          <w:rFonts w:ascii="Arial" w:hAnsi="Arial"/>
          <w:b w:val="0"/>
          <w:color w:val="181818"/>
          <w:sz w:val="20"/>
        </w:rPr>
        <w:t>•  Site, asset, dependency, vendor, contact, access, and spare readiness record</w:t>
      </w:r>
    </w:p>
    <w:p>
      <w:pPr>
        <w:keepNext w:val="0"/>
        <w:spacing w:before="0" w:after="100" w:line="269" w:lineRule="auto"/>
        <w:ind w:left="187" w:hanging="187"/>
      </w:pPr>
      <w:r>
        <w:rPr>
          <w:rFonts w:ascii="Arial" w:hAnsi="Arial"/>
          <w:b w:val="0"/>
          <w:color w:val="181818"/>
          <w:sz w:val="20"/>
        </w:rPr>
        <w:t>•  Remote-triage and field-mission templates</w:t>
      </w:r>
    </w:p>
    <w:p>
      <w:pPr>
        <w:keepNext w:val="0"/>
        <w:spacing w:before="0" w:after="100" w:line="269" w:lineRule="auto"/>
        <w:ind w:left="187" w:hanging="187"/>
      </w:pPr>
      <w:r>
        <w:rPr>
          <w:rFonts w:ascii="Arial" w:hAnsi="Arial"/>
          <w:b w:val="0"/>
          <w:color w:val="181818"/>
          <w:sz w:val="20"/>
        </w:rPr>
        <w:t>•  Timestamped test, change, parts, photo, and restoration evidence</w:t>
      </w:r>
    </w:p>
    <w:p>
      <w:pPr>
        <w:keepNext w:val="0"/>
        <w:spacing w:before="0" w:after="100" w:line="269" w:lineRule="auto"/>
        <w:ind w:left="187" w:hanging="187"/>
      </w:pPr>
      <w:r>
        <w:rPr>
          <w:rFonts w:ascii="Arial" w:hAnsi="Arial"/>
          <w:b w:val="0"/>
          <w:color w:val="181818"/>
          <w:sz w:val="20"/>
        </w:rPr>
        <w:t>•  Cause and recurrence review, updated documentation, exception list, and preventive follow-up</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GHT-SVC-034 / BREAK-FIX TRIAGE AND FIELD DISPATCH</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Sites, hours, contacts, access, safety, escort, parking, travel, and after-hours conditions</w:t>
      </w:r>
    </w:p>
    <w:p>
      <w:pPr>
        <w:keepNext w:val="0"/>
        <w:spacing w:before="0" w:after="100" w:line="269" w:lineRule="auto"/>
        <w:ind w:left="187" w:hanging="187"/>
      </w:pPr>
      <w:r>
        <w:rPr>
          <w:rFonts w:ascii="Arial" w:hAnsi="Arial"/>
          <w:b w:val="0"/>
          <w:color w:val="181818"/>
          <w:sz w:val="20"/>
        </w:rPr>
        <w:t>•  Covered services, assets, dependencies, monitoring, remote access, vendors, warranties, and support status</w:t>
      </w:r>
    </w:p>
    <w:p>
      <w:pPr>
        <w:keepNext w:val="0"/>
        <w:spacing w:before="0" w:after="100" w:line="269" w:lineRule="auto"/>
        <w:ind w:left="187" w:hanging="187"/>
      </w:pPr>
      <w:r>
        <w:rPr>
          <w:rFonts w:ascii="Arial" w:hAnsi="Arial"/>
          <w:b w:val="0"/>
          <w:color w:val="181818"/>
          <w:sz w:val="20"/>
        </w:rPr>
        <w:t>•  Severity, coverage window, response target, escalation, authority, rates, minimums, and exclusions</w:t>
      </w:r>
    </w:p>
    <w:p>
      <w:pPr>
        <w:keepNext w:val="0"/>
        <w:spacing w:before="0" w:after="100" w:line="269" w:lineRule="auto"/>
        <w:ind w:left="187" w:hanging="187"/>
      </w:pPr>
      <w:r>
        <w:rPr>
          <w:rFonts w:ascii="Arial" w:hAnsi="Arial"/>
          <w:b w:val="0"/>
          <w:color w:val="181818"/>
          <w:sz w:val="20"/>
        </w:rPr>
        <w:t>•  Common spares, approved substitutions, custody, procurement, shipping, and return process</w:t>
      </w:r>
    </w:p>
    <w:p>
      <w:pPr>
        <w:keepNext w:val="0"/>
        <w:spacing w:before="0" w:after="100" w:line="269" w:lineRule="auto"/>
        <w:ind w:left="187" w:hanging="187"/>
      </w:pPr>
      <w:r>
        <w:rPr>
          <w:rFonts w:ascii="Arial" w:hAnsi="Arial"/>
          <w:b w:val="0"/>
          <w:color w:val="181818"/>
          <w:sz w:val="20"/>
        </w:rPr>
        <w:t>•  Dispatch brief, communication cadence, acceptance tests, evidence, cause categories, and preventive follow-up</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Coverage windows, arrival or response targets, travel, after-hours rates, minimums, parts, and third-party coordination are contract- and location-specific</w:t>
      </w:r>
    </w:p>
    <w:p>
      <w:pPr>
        <w:keepNext w:val="0"/>
        <w:spacing w:before="0" w:after="100" w:line="269" w:lineRule="auto"/>
        <w:ind w:left="187" w:hanging="187"/>
      </w:pPr>
      <w:r>
        <w:rPr>
          <w:rFonts w:ascii="Arial" w:hAnsi="Arial"/>
          <w:b w:val="0"/>
          <w:color w:val="181818"/>
          <w:sz w:val="20"/>
        </w:rPr>
        <w:t>•  Restoration can be delayed by site access, unsafe conditions, hidden pathways, carrier or vendor ownership, unavailable parts, licensing, warranties, or required approvals</w:t>
      </w:r>
    </w:p>
    <w:p>
      <w:pPr>
        <w:keepNext w:val="0"/>
        <w:spacing w:before="0" w:after="100" w:line="269" w:lineRule="auto"/>
        <w:ind w:left="187" w:hanging="187"/>
      </w:pPr>
      <w:r>
        <w:rPr>
          <w:rFonts w:ascii="Arial" w:hAnsi="Arial"/>
          <w:b w:val="0"/>
          <w:color w:val="181818"/>
          <w:sz w:val="20"/>
        </w:rPr>
        <w:t>•  A temporary workaround must be labeled, documented, risk-accepted by the owner, and assigned a permanent-resolution owner</w:t>
      </w:r>
    </w:p>
    <w:p>
      <w:pPr>
        <w:keepNext w:val="0"/>
        <w:spacing w:before="0" w:after="100" w:line="269" w:lineRule="auto"/>
        <w:ind w:left="187" w:hanging="187"/>
      </w:pPr>
      <w:r>
        <w:rPr>
          <w:rFonts w:ascii="Arial" w:hAnsi="Arial"/>
          <w:b w:val="0"/>
          <w:color w:val="181818"/>
          <w:sz w:val="20"/>
        </w:rPr>
        <w:t>•  Remote access and changes require customer authorization, least privilege, protected credentials, logging, backup, and rollback appropriate to the system</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National Institute of Standards and Technology — SP 800-61 Rev. 3: Incident Response Recommendations</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National Institute of Standards and Technology — SP 800-128: Security-Focused Configuration Management</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Cybersecurity and Infrastructure Security Agency — Cross-Sector Cybersecurity Performance Goals</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csrc.nist.gov/pubs/sp/800/61/r3/final" TargetMode="External"/><Relationship Id="rId13" Type="http://schemas.openxmlformats.org/officeDocument/2006/relationships/hyperlink" Target="https://csrc.nist.gov/pubs/sp/800/128/upd1/final" TargetMode="External"/><Relationship Id="rId14" Type="http://schemas.openxmlformats.org/officeDocument/2006/relationships/hyperlink" Target="https://www.cisa.gov/cybersecurity-performance-goals" TargetMode="External"/><Relationship Id="rId15" Type="http://schemas.openxmlformats.org/officeDocument/2006/relationships/hyperlink" Target="https://ght.network/services/managed-operations/break-fix-dispat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Break-fix triage and field dispatch — Service specification</dc:title>
  <dc:subject>Incident intake, remote checks, site access, vendor boundaries, technician skills, tools, parts, field work, acceptance testing, and cause notes form one connected path; timing, travel, and rates stay contract-specific.</dc:subject>
  <dc:creator>Glass House Technologies</dc:creator>
  <cp:keywords>Managed operations,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