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BUSINESS SYSTEMS</w:t>
      </w:r>
    </w:p>
    <w:p>
      <w:pPr>
        <w:keepNext/>
        <w:spacing w:before="0" w:after="180" w:line="269" w:lineRule="auto"/>
      </w:pPr>
      <w:r>
        <w:rPr>
          <w:rFonts w:ascii="Arial" w:hAnsi="Arial"/>
          <w:b/>
          <w:color w:val="181818"/>
          <w:sz w:val="48"/>
        </w:rPr>
        <w:t>Business reporting and sales forecasting</w:t>
      </w:r>
    </w:p>
    <w:p>
      <w:pPr>
        <w:keepNext w:val="0"/>
        <w:spacing w:before="0" w:after="240" w:line="269" w:lineRule="auto"/>
      </w:pPr>
      <w:r>
        <w:rPr>
          <w:rFonts w:ascii="Arial" w:hAnsi="Arial"/>
          <w:b w:val="0"/>
          <w:color w:val="646464"/>
          <w:sz w:val="17"/>
        </w:rPr>
        <w:t>GHT-SVC-040   •   Revision 1.0   •   06 September 2026   •   1 / 3</w:t>
      </w:r>
    </w:p>
    <w:p>
      <w:pPr>
        <w:keepNext w:val="0"/>
        <w:spacing w:before="0" w:after="180" w:line="269" w:lineRule="auto"/>
      </w:pPr>
      <w:r>
        <w:rPr>
          <w:rFonts w:ascii="Arial" w:hAnsi="Arial"/>
          <w:b w:val="0"/>
          <w:color w:val="181818"/>
          <w:sz w:val="22"/>
        </w:rPr>
        <w:t>Connect approved operational data to clear reports and evaluated forecasts that support purchasing, preparation, staffing, and location planning.</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Reconciled reporting and an evaluated forecasting workflow with understandable assumptions, refresh timing, access permissions, and decision ownership.</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The service defines the measures a manager needs, connects approved source records, checks data quality, and builds reports or dashboards. Forecasting may be added when the available history and intended decision support it.</w:t>
      </w:r>
    </w:p>
    <w:p>
      <w:pPr>
        <w:keepNext w:val="0"/>
        <w:spacing w:before="0" w:after="120" w:line="269" w:lineRule="auto"/>
      </w:pPr>
      <w:r>
        <w:rPr>
          <w:rFonts w:ascii="Arial" w:hAnsi="Arial"/>
          <w:b w:val="0"/>
          <w:color w:val="181818"/>
          <w:sz w:val="20"/>
        </w:rPr>
        <w:t>Restaurant item demand, grocery replenishment, and location activity are example uses. Historical patterns inform a forecast; promotions, stockouts, seasonality, missing data, and changes in operations must be considered before a manager acts.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Source records</w:t>
            </w:r>
          </w:p>
        </w:tc>
        <w:tc>
          <w:tcPr>
            <w:tcW w:type="dxa" w:w="7200"/>
            <w:shd w:fill="F4F1E9"/>
          </w:tcPr>
          <w:p>
            <w:pPr>
              <w:spacing w:before="100" w:after="100"/>
            </w:pPr>
            <w:r>
              <w:rPr>
                <w:rFonts w:ascii="Arial" w:hAnsi="Arial"/>
                <w:sz w:val="18"/>
              </w:rPr>
              <w:t>Approved POS, inventory, ordering, staffing, or business-system data</w:t>
            </w:r>
          </w:p>
        </w:tc>
      </w:tr>
      <w:tr>
        <w:tc>
          <w:tcPr>
            <w:tcW w:type="dxa" w:w="2160"/>
            <w:shd w:fill="FFFFFF"/>
          </w:tcPr>
          <w:p>
            <w:pPr>
              <w:spacing w:before="100" w:after="100"/>
            </w:pPr>
            <w:r>
              <w:rPr>
                <w:rFonts w:ascii="Arial" w:hAnsi="Arial"/>
                <w:b/>
                <w:sz w:val="18"/>
              </w:rPr>
              <w:t>02  Data preparation</w:t>
            </w:r>
          </w:p>
        </w:tc>
        <w:tc>
          <w:tcPr>
            <w:tcW w:type="dxa" w:w="7200"/>
            <w:shd w:fill="FFFFFF"/>
          </w:tcPr>
          <w:p>
            <w:pPr>
              <w:spacing w:before="100" w:after="100"/>
            </w:pPr>
            <w:r>
              <w:rPr>
                <w:rFonts w:ascii="Arial" w:hAnsi="Arial"/>
                <w:sz w:val="18"/>
              </w:rPr>
              <w:t>Definitions, joins, dates, units, quality checks, and reconciliation</w:t>
            </w:r>
          </w:p>
        </w:tc>
      </w:tr>
      <w:tr>
        <w:tc>
          <w:tcPr>
            <w:tcW w:type="dxa" w:w="2160"/>
            <w:shd w:fill="F4F1E9"/>
          </w:tcPr>
          <w:p>
            <w:pPr>
              <w:spacing w:before="100" w:after="100"/>
            </w:pPr>
            <w:r>
              <w:rPr>
                <w:rFonts w:ascii="Arial" w:hAnsi="Arial"/>
                <w:b/>
                <w:sz w:val="18"/>
              </w:rPr>
              <w:t>03  Analysis</w:t>
            </w:r>
          </w:p>
        </w:tc>
        <w:tc>
          <w:tcPr>
            <w:tcW w:type="dxa" w:w="7200"/>
            <w:shd w:fill="F4F1E9"/>
          </w:tcPr>
          <w:p>
            <w:pPr>
              <w:spacing w:before="100" w:after="100"/>
            </w:pPr>
            <w:r>
              <w:rPr>
                <w:rFonts w:ascii="Arial" w:hAnsi="Arial"/>
                <w:sz w:val="18"/>
              </w:rPr>
              <w:t>Dashboards, baseline forecasts, evaluation, and uncertainty</w:t>
            </w:r>
          </w:p>
        </w:tc>
      </w:tr>
      <w:tr>
        <w:tc>
          <w:tcPr>
            <w:tcW w:type="dxa" w:w="2160"/>
            <w:shd w:fill="FFFFFF"/>
          </w:tcPr>
          <w:p>
            <w:pPr>
              <w:spacing w:before="100" w:after="100"/>
            </w:pPr>
            <w:r>
              <w:rPr>
                <w:rFonts w:ascii="Arial" w:hAnsi="Arial"/>
                <w:b/>
                <w:sz w:val="18"/>
              </w:rPr>
              <w:t>04  Decision and review</w:t>
            </w:r>
          </w:p>
        </w:tc>
        <w:tc>
          <w:tcPr>
            <w:tcW w:type="dxa" w:w="7200"/>
            <w:shd w:fill="FFFFFF"/>
          </w:tcPr>
          <w:p>
            <w:pPr>
              <w:spacing w:before="100" w:after="100"/>
            </w:pPr>
            <w:r>
              <w:rPr>
                <w:rFonts w:ascii="Arial" w:hAnsi="Arial"/>
                <w:sz w:val="18"/>
              </w:rPr>
              <w:t>Named owner, refresh schedule, overrides, and performance monitoring</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Managers retype or combine reports from different systems</w:t>
      </w:r>
    </w:p>
    <w:p>
      <w:pPr>
        <w:keepNext w:val="0"/>
        <w:spacing w:before="0" w:after="100" w:line="269" w:lineRule="auto"/>
        <w:ind w:left="187" w:hanging="187"/>
      </w:pPr>
      <w:r>
        <w:rPr>
          <w:rFonts w:ascii="Arial" w:hAnsi="Arial"/>
          <w:b w:val="0"/>
          <w:color w:val="181818"/>
          <w:sz w:val="20"/>
        </w:rPr>
        <w:t>•  Purchasing or staffing decisions lack a consistent view of demand</w:t>
      </w:r>
    </w:p>
    <w:p>
      <w:pPr>
        <w:keepNext w:val="0"/>
        <w:spacing w:before="0" w:after="100" w:line="269" w:lineRule="auto"/>
        <w:ind w:left="187" w:hanging="187"/>
      </w:pPr>
      <w:r>
        <w:rPr>
          <w:rFonts w:ascii="Arial" w:hAnsi="Arial"/>
          <w:b w:val="0"/>
          <w:color w:val="181818"/>
          <w:sz w:val="20"/>
        </w:rPr>
        <w:t>•  The business needs reporting across items, shifts, or locations</w:t>
      </w:r>
    </w:p>
    <w:p>
      <w:r>
        <w:br w:type="page"/>
      </w:r>
    </w:p>
    <w:p>
      <w:pPr>
        <w:keepNext/>
        <w:spacing w:before="1200" w:after="160" w:line="269" w:lineRule="auto"/>
      </w:pPr>
      <w:r>
        <w:rPr>
          <w:rFonts w:ascii="Arial" w:hAnsi="Arial"/>
          <w:b/>
          <w:color w:val="9B792B"/>
          <w:sz w:val="18"/>
        </w:rPr>
        <w:t>GHT-SVC-040 / BUSINESS REPORTING AND SALES FORECASTING</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Define the decision</w:t>
      </w:r>
    </w:p>
    <w:p>
      <w:pPr>
        <w:keepNext w:val="0"/>
        <w:spacing w:before="0" w:after="80" w:line="269" w:lineRule="auto"/>
      </w:pPr>
      <w:r>
        <w:rPr>
          <w:rFonts w:ascii="Arial" w:hAnsi="Arial"/>
          <w:b w:val="0"/>
          <w:color w:val="181818"/>
          <w:sz w:val="20"/>
        </w:rPr>
        <w:t>Agree on users, measures, forecast horizon, reporting grain, decision cadence, and source-system responsibilities.</w:t>
      </w:r>
    </w:p>
    <w:p>
      <w:pPr>
        <w:keepNext w:val="0"/>
        <w:spacing w:before="0" w:after="140" w:line="269" w:lineRule="auto"/>
      </w:pPr>
      <w:r>
        <w:rPr>
          <w:rFonts w:ascii="Arial" w:hAnsi="Arial"/>
          <w:b/>
          <w:color w:val="181818"/>
          <w:sz w:val="18"/>
        </w:rPr>
        <w:t>Acceptance evidence: Metric dictionary, reporting requirements, and evaluation plan.</w:t>
      </w:r>
    </w:p>
    <w:p>
      <w:pPr>
        <w:keepNext/>
        <w:spacing w:before="200" w:after="120" w:line="269" w:lineRule="auto"/>
      </w:pPr>
      <w:r>
        <w:rPr>
          <w:rFonts w:ascii="Arial" w:hAnsi="Arial"/>
          <w:b/>
          <w:color w:val="9B792B"/>
          <w:sz w:val="24"/>
        </w:rPr>
        <w:t>02  Prepare and reconcile data</w:t>
      </w:r>
    </w:p>
    <w:p>
      <w:pPr>
        <w:keepNext w:val="0"/>
        <w:spacing w:before="0" w:after="80" w:line="269" w:lineRule="auto"/>
      </w:pPr>
      <w:r>
        <w:rPr>
          <w:rFonts w:ascii="Arial" w:hAnsi="Arial"/>
          <w:b w:val="0"/>
          <w:color w:val="181818"/>
          <w:sz w:val="20"/>
        </w:rPr>
        <w:t>Connect permitted sources, document transformations, identify missing records and exceptional periods, and reconcile totals.</w:t>
      </w:r>
    </w:p>
    <w:p>
      <w:pPr>
        <w:keepNext w:val="0"/>
        <w:spacing w:before="0" w:after="140" w:line="269" w:lineRule="auto"/>
      </w:pPr>
      <w:r>
        <w:rPr>
          <w:rFonts w:ascii="Arial" w:hAnsi="Arial"/>
          <w:b/>
          <w:color w:val="181818"/>
          <w:sz w:val="18"/>
        </w:rPr>
        <w:t>Acceptance evidence: Source mapping, quality report, and reconciled sample outputs.</w:t>
      </w:r>
    </w:p>
    <w:p>
      <w:pPr>
        <w:keepNext/>
        <w:spacing w:before="200" w:after="120" w:line="269" w:lineRule="auto"/>
      </w:pPr>
      <w:r>
        <w:rPr>
          <w:rFonts w:ascii="Arial" w:hAnsi="Arial"/>
          <w:b/>
          <w:color w:val="9B792B"/>
          <w:sz w:val="24"/>
        </w:rPr>
        <w:t>03  Build and evaluate</w:t>
      </w:r>
    </w:p>
    <w:p>
      <w:pPr>
        <w:keepNext w:val="0"/>
        <w:spacing w:before="0" w:after="80" w:line="269" w:lineRule="auto"/>
      </w:pPr>
      <w:r>
        <w:rPr>
          <w:rFonts w:ascii="Arial" w:hAnsi="Arial"/>
          <w:b w:val="0"/>
          <w:color w:val="181818"/>
          <w:sz w:val="20"/>
        </w:rPr>
        <w:t>Create reports and compare candidate forecasts with a relevant baseline using time-ordered holdouts or rolling evaluation.</w:t>
      </w:r>
    </w:p>
    <w:p>
      <w:pPr>
        <w:keepNext w:val="0"/>
        <w:spacing w:before="0" w:after="140" w:line="269" w:lineRule="auto"/>
      </w:pPr>
      <w:r>
        <w:rPr>
          <w:rFonts w:ascii="Arial" w:hAnsi="Arial"/>
          <w:b/>
          <w:color w:val="181818"/>
          <w:sz w:val="18"/>
        </w:rPr>
        <w:t>Acceptance evidence: Reviewed dashboards, baseline comparison, and documented error measures.</w:t>
      </w:r>
    </w:p>
    <w:p>
      <w:pPr>
        <w:keepNext/>
        <w:spacing w:before="200" w:after="120" w:line="269" w:lineRule="auto"/>
      </w:pPr>
      <w:r>
        <w:rPr>
          <w:rFonts w:ascii="Arial" w:hAnsi="Arial"/>
          <w:b/>
          <w:color w:val="9B792B"/>
          <w:sz w:val="24"/>
        </w:rPr>
        <w:t>04  Deliver and review</w:t>
      </w:r>
    </w:p>
    <w:p>
      <w:pPr>
        <w:keepNext w:val="0"/>
        <w:spacing w:before="0" w:after="80" w:line="269" w:lineRule="auto"/>
      </w:pPr>
      <w:r>
        <w:rPr>
          <w:rFonts w:ascii="Arial" w:hAnsi="Arial"/>
          <w:b w:val="0"/>
          <w:color w:val="181818"/>
          <w:sz w:val="20"/>
        </w:rPr>
        <w:t>Set access and refresh behavior, explain uncertainty and limitations, train the decision owner, and agree on monitoring.</w:t>
      </w:r>
    </w:p>
    <w:p>
      <w:pPr>
        <w:keepNext w:val="0"/>
        <w:spacing w:before="0" w:after="140" w:line="269" w:lineRule="auto"/>
      </w:pPr>
      <w:r>
        <w:rPr>
          <w:rFonts w:ascii="Arial" w:hAnsi="Arial"/>
          <w:b/>
          <w:color w:val="181818"/>
          <w:sz w:val="18"/>
        </w:rPr>
        <w:t>Acceptance evidence: Acceptance results, refresh/runbook, interpretation guide, and review cadence.</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Metric definitions and approved data-source map</w:t>
      </w:r>
    </w:p>
    <w:p>
      <w:pPr>
        <w:keepNext w:val="0"/>
        <w:spacing w:before="0" w:after="100" w:line="269" w:lineRule="auto"/>
        <w:ind w:left="187" w:hanging="187"/>
      </w:pPr>
      <w:r>
        <w:rPr>
          <w:rFonts w:ascii="Arial" w:hAnsi="Arial"/>
          <w:b w:val="0"/>
          <w:color w:val="181818"/>
          <w:sz w:val="20"/>
        </w:rPr>
        <w:t>•  Data preparation and reconciliation record</w:t>
      </w:r>
    </w:p>
    <w:p>
      <w:pPr>
        <w:keepNext w:val="0"/>
        <w:spacing w:before="0" w:after="100" w:line="269" w:lineRule="auto"/>
        <w:ind w:left="187" w:hanging="187"/>
      </w:pPr>
      <w:r>
        <w:rPr>
          <w:rFonts w:ascii="Arial" w:hAnsi="Arial"/>
          <w:b w:val="0"/>
          <w:color w:val="181818"/>
          <w:sz w:val="20"/>
        </w:rPr>
        <w:t>•  Configured dashboards or reports with access controls</w:t>
      </w:r>
    </w:p>
    <w:p>
      <w:pPr>
        <w:keepNext w:val="0"/>
        <w:spacing w:before="0" w:after="100" w:line="269" w:lineRule="auto"/>
        <w:ind w:left="187" w:hanging="187"/>
      </w:pPr>
      <w:r>
        <w:rPr>
          <w:rFonts w:ascii="Arial" w:hAnsi="Arial"/>
          <w:b w:val="0"/>
          <w:color w:val="181818"/>
          <w:sz w:val="20"/>
        </w:rPr>
        <w:t>•  Forecast evaluation and limitations when forecasting is in scope</w:t>
      </w:r>
    </w:p>
    <w:p>
      <w:pPr>
        <w:keepNext w:val="0"/>
        <w:spacing w:before="0" w:after="100" w:line="269" w:lineRule="auto"/>
        <w:ind w:left="187" w:hanging="187"/>
      </w:pPr>
      <w:r>
        <w:rPr>
          <w:rFonts w:ascii="Arial" w:hAnsi="Arial"/>
          <w:b w:val="0"/>
          <w:color w:val="181818"/>
          <w:sz w:val="20"/>
        </w:rPr>
        <w:t>•  Refresh schedule, interpretation guide, and acceptance record</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GHT-SVC-040 / BUSINESS REPORTING AND SALES FORECASTING</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Decision, reporting audience, forecast horizon, and update cadence</w:t>
      </w:r>
    </w:p>
    <w:p>
      <w:pPr>
        <w:keepNext w:val="0"/>
        <w:spacing w:before="0" w:after="100" w:line="269" w:lineRule="auto"/>
        <w:ind w:left="187" w:hanging="187"/>
      </w:pPr>
      <w:r>
        <w:rPr>
          <w:rFonts w:ascii="Arial" w:hAnsi="Arial"/>
          <w:b w:val="0"/>
          <w:color w:val="181818"/>
          <w:sz w:val="20"/>
        </w:rPr>
        <w:t>•  Historical records with timestamps, units, items, and location identifiers</w:t>
      </w:r>
    </w:p>
    <w:p>
      <w:pPr>
        <w:keepNext w:val="0"/>
        <w:spacing w:before="0" w:after="100" w:line="269" w:lineRule="auto"/>
        <w:ind w:left="187" w:hanging="187"/>
      </w:pPr>
      <w:r>
        <w:rPr>
          <w:rFonts w:ascii="Arial" w:hAnsi="Arial"/>
          <w:b w:val="0"/>
          <w:color w:val="181818"/>
          <w:sz w:val="20"/>
        </w:rPr>
        <w:t>•  Known promotions, closures, stockouts, corrections, and business changes</w:t>
      </w:r>
    </w:p>
    <w:p>
      <w:pPr>
        <w:keepNext w:val="0"/>
        <w:spacing w:before="0" w:after="100" w:line="269" w:lineRule="auto"/>
        <w:ind w:left="187" w:hanging="187"/>
      </w:pPr>
      <w:r>
        <w:rPr>
          <w:rFonts w:ascii="Arial" w:hAnsi="Arial"/>
          <w:b w:val="0"/>
          <w:color w:val="181818"/>
          <w:sz w:val="20"/>
        </w:rPr>
        <w:t>•  Source access, vendor licensing, privacy boundaries, and retention requirements</w:t>
      </w:r>
    </w:p>
    <w:p>
      <w:pPr>
        <w:keepNext w:val="0"/>
        <w:spacing w:before="0" w:after="100" w:line="269" w:lineRule="auto"/>
        <w:ind w:left="187" w:hanging="187"/>
      </w:pPr>
      <w:r>
        <w:rPr>
          <w:rFonts w:ascii="Arial" w:hAnsi="Arial"/>
          <w:b w:val="0"/>
          <w:color w:val="181818"/>
          <w:sz w:val="20"/>
        </w:rPr>
        <w:t>•  Agreed reconciliation tolerance, evaluation baseline, error measures, and review owner</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Forecasts are planning aids, not guaranteed revenue, demand, staffing, or savings outcomes.</w:t>
      </w:r>
    </w:p>
    <w:p>
      <w:pPr>
        <w:keepNext w:val="0"/>
        <w:spacing w:before="0" w:after="100" w:line="269" w:lineRule="auto"/>
        <w:ind w:left="187" w:hanging="187"/>
      </w:pPr>
      <w:r>
        <w:rPr>
          <w:rFonts w:ascii="Arial" w:hAnsi="Arial"/>
          <w:b w:val="0"/>
          <w:color w:val="181818"/>
          <w:sz w:val="20"/>
        </w:rPr>
        <w:t>•  Sparse, inconsistent, or changing data may limit forecasting; data repair or longer collection periods may be required.</w:t>
      </w:r>
    </w:p>
    <w:p>
      <w:pPr>
        <w:keepNext w:val="0"/>
        <w:spacing w:before="0" w:after="100" w:line="269" w:lineRule="auto"/>
        <w:ind w:left="187" w:hanging="187"/>
      </w:pPr>
      <w:r>
        <w:rPr>
          <w:rFonts w:ascii="Arial" w:hAnsi="Arial"/>
          <w:b w:val="0"/>
          <w:color w:val="181818"/>
          <w:sz w:val="20"/>
        </w:rPr>
        <w:t>•  Vendor API access, historical exports, integration subscriptions, and ongoing monitoring are separately scoped.</w:t>
      </w:r>
    </w:p>
    <w:p>
      <w:pPr>
        <w:keepNext w:val="0"/>
        <w:spacing w:before="0" w:after="100" w:line="269" w:lineRule="auto"/>
        <w:ind w:left="187" w:hanging="187"/>
      </w:pPr>
      <w:r>
        <w:rPr>
          <w:rFonts w:ascii="Arial" w:hAnsi="Arial"/>
          <w:b w:val="0"/>
          <w:color w:val="181818"/>
          <w:sz w:val="20"/>
        </w:rPr>
        <w:t>•  Automatic purchasing or staffing actions require explicit approval rules and controls; reports do not authorize those actions by default.</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Hyndman and Athanasopoulos — Evaluating point forecast accuracy</w:t>
        </w:r>
      </w:hyperlink>
      <w:r>
        <w:rPr>
          <w:sz w:val="16"/>
        </w:rPr>
        <w:t xml:space="preserve">  |  Source review: 2026-09-06</w:t>
      </w:r>
    </w:p>
    <w:p>
      <w:pPr>
        <w:keepNext w:val="0"/>
        <w:spacing w:before="0" w:after="140" w:line="269" w:lineRule="auto"/>
      </w:pPr>
      <w:r>
        <w:rPr>
          <w:rFonts w:ascii="Arial" w:hAnsi="Arial"/>
          <w:b w:val="0"/>
          <w:color w:val="181818"/>
          <w:sz w:val="17"/>
        </w:rPr>
      </w:r>
      <w:hyperlink r:id="rId13">
        <w:r>
          <w:rPr>
            <w:color w:val="9B792B"/>
          </w:rPr>
          <w:t>Hyndman and Athanasopoulos — Time series cross validation</w:t>
        </w:r>
      </w:hyperlink>
      <w:r>
        <w:rPr>
          <w:sz w:val="16"/>
        </w:rPr>
        <w:t xml:space="preserve">  |  Source review: 2026-09-06</w:t>
      </w:r>
    </w:p>
    <w:p>
      <w:pPr>
        <w:keepNext w:val="0"/>
        <w:spacing w:before="0" w:after="140" w:line="269" w:lineRule="auto"/>
      </w:pPr>
      <w:r>
        <w:rPr>
          <w:rFonts w:ascii="Arial" w:hAnsi="Arial"/>
          <w:b w:val="0"/>
          <w:color w:val="181818"/>
          <w:sz w:val="17"/>
        </w:rPr>
      </w:r>
      <w:hyperlink r:id="rId14">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otexts.com/fpp3/accuracy.html" TargetMode="External"/><Relationship Id="rId13" Type="http://schemas.openxmlformats.org/officeDocument/2006/relationships/hyperlink" Target="https://otexts.com/fpp3/tscv.html" TargetMode="External"/><Relationship Id="rId14" Type="http://schemas.openxmlformats.org/officeDocument/2006/relationships/hyperlink" Target="https://ght.network/business-solu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reporting and sales forecasting — Service specification</dc:title>
  <dc:subject>Connect approved operational data to clear reports and evaluated forecasts that support purchasing, preparation, staffing, and location planning.</dc:subject>
  <dc:creator>Glass House Technologies</dc:creator>
  <cp:keywords>Business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