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INFRASTRUCTURE</w:t>
      </w:r>
    </w:p>
    <w:p>
      <w:pPr>
        <w:keepNext/>
        <w:spacing w:before="0" w:after="180" w:line="269" w:lineRule="auto"/>
      </w:pPr>
      <w:r>
        <w:rPr>
          <w:rFonts w:ascii="Arial" w:hAnsi="Arial"/>
          <w:b/>
          <w:color w:val="181818"/>
          <w:sz w:val="48"/>
        </w:rPr>
        <w:t>Campus and outside-plant fiber</w:t>
      </w:r>
    </w:p>
    <w:p>
      <w:pPr>
        <w:keepNext w:val="0"/>
        <w:spacing w:before="0" w:after="240" w:line="269" w:lineRule="auto"/>
      </w:pPr>
      <w:r>
        <w:rPr>
          <w:rFonts w:ascii="Arial" w:hAnsi="Arial"/>
          <w:b w:val="0"/>
          <w:color w:val="646464"/>
          <w:sz w:val="17"/>
        </w:rPr>
        <w:t>GHT-SVC-005   •   Revision 1.0   •   06 September 2026   •   1 / 3</w:t>
      </w:r>
    </w:p>
    <w:p>
      <w:pPr>
        <w:keepNext w:val="0"/>
        <w:spacing w:before="0" w:after="180" w:line="269" w:lineRule="auto"/>
      </w:pPr>
      <w:r>
        <w:rPr>
          <w:rFonts w:ascii="Arial" w:hAnsi="Arial"/>
          <w:b w:val="0"/>
          <w:color w:val="181818"/>
          <w:sz w:val="22"/>
        </w:rPr>
        <w:t>Route and utility discovery, civil coordination, cable construction, splicing, testing, strand records, and restoration planning, combined into one build.</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 protected interbuilding route with identified strands, splice records, measured loss, route markers, and information needed for future repair.</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Outside-plant fiber begins where the cable leaves the protected building environment. Cable construction, water blocking, armor, strength, conduit, handholes, aerial support and building transition must match the route.</w:t>
      </w:r>
    </w:p>
    <w:p>
      <w:pPr>
        <w:keepNext w:val="0"/>
        <w:spacing w:before="0" w:after="120" w:line="269" w:lineRule="auto"/>
      </w:pPr>
      <w:r>
        <w:rPr>
          <w:rFonts w:ascii="Arial" w:hAnsi="Arial"/>
          <w:b w:val="0"/>
          <w:color w:val="181818"/>
          <w:sz w:val="20"/>
        </w:rPr>
        <w:t>The optical design starts with the communications system, distance and loss budget. Fiber count should also account for resilience, restoration and credible growth because civil work usually dominates the difficulty of adding capacity later.</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Building entrance</w:t>
            </w:r>
          </w:p>
        </w:tc>
        <w:tc>
          <w:tcPr>
            <w:tcW w:type="dxa" w:w="7200"/>
            <w:shd w:fill="F4F1E9"/>
          </w:tcPr>
          <w:p>
            <w:pPr>
              <w:spacing w:before="100" w:after="100"/>
            </w:pPr>
            <w:r>
              <w:rPr>
                <w:rFonts w:ascii="Arial" w:hAnsi="Arial"/>
                <w:sz w:val="18"/>
              </w:rPr>
              <w:t>Transition, protection and termination at each facility</w:t>
            </w:r>
          </w:p>
        </w:tc>
      </w:tr>
      <w:tr>
        <w:tc>
          <w:tcPr>
            <w:tcW w:type="dxa" w:w="2160"/>
            <w:shd w:fill="FFFFFF"/>
          </w:tcPr>
          <w:p>
            <w:pPr>
              <w:spacing w:before="100" w:after="100"/>
            </w:pPr>
            <w:r>
              <w:rPr>
                <w:rFonts w:ascii="Arial" w:hAnsi="Arial"/>
                <w:b/>
                <w:sz w:val="18"/>
              </w:rPr>
              <w:t>02  OSP route</w:t>
            </w:r>
          </w:p>
        </w:tc>
        <w:tc>
          <w:tcPr>
            <w:tcW w:type="dxa" w:w="7200"/>
            <w:shd w:fill="FFFFFF"/>
          </w:tcPr>
          <w:p>
            <w:pPr>
              <w:spacing w:before="100" w:after="100"/>
            </w:pPr>
            <w:r>
              <w:rPr>
                <w:rFonts w:ascii="Arial" w:hAnsi="Arial"/>
                <w:sz w:val="18"/>
              </w:rPr>
              <w:t>Conduit, handholes, direct-buried or aerial support system</w:t>
            </w:r>
          </w:p>
        </w:tc>
      </w:tr>
      <w:tr>
        <w:tc>
          <w:tcPr>
            <w:tcW w:type="dxa" w:w="2160"/>
            <w:shd w:fill="F4F1E9"/>
          </w:tcPr>
          <w:p>
            <w:pPr>
              <w:spacing w:before="100" w:after="100"/>
            </w:pPr>
            <w:r>
              <w:rPr>
                <w:rFonts w:ascii="Arial" w:hAnsi="Arial"/>
                <w:b/>
                <w:sz w:val="18"/>
              </w:rPr>
              <w:t>03  Fiber cable plant</w:t>
            </w:r>
          </w:p>
        </w:tc>
        <w:tc>
          <w:tcPr>
            <w:tcW w:type="dxa" w:w="7200"/>
            <w:shd w:fill="F4F1E9"/>
          </w:tcPr>
          <w:p>
            <w:pPr>
              <w:spacing w:before="100" w:after="100"/>
            </w:pPr>
            <w:r>
              <w:rPr>
                <w:rFonts w:ascii="Arial" w:hAnsi="Arial"/>
                <w:sz w:val="18"/>
              </w:rPr>
              <w:t>Cable, splices, closures, connectors and spare strands</w:t>
            </w:r>
          </w:p>
        </w:tc>
      </w:tr>
      <w:tr>
        <w:tc>
          <w:tcPr>
            <w:tcW w:type="dxa" w:w="2160"/>
            <w:shd w:fill="FFFFFF"/>
          </w:tcPr>
          <w:p>
            <w:pPr>
              <w:spacing w:before="100" w:after="100"/>
            </w:pPr>
            <w:r>
              <w:rPr>
                <w:rFonts w:ascii="Arial" w:hAnsi="Arial"/>
                <w:b/>
                <w:sz w:val="18"/>
              </w:rPr>
              <w:t>04  Optical service</w:t>
            </w:r>
          </w:p>
        </w:tc>
        <w:tc>
          <w:tcPr>
            <w:tcW w:type="dxa" w:w="7200"/>
            <w:shd w:fill="FFFFFF"/>
          </w:tcPr>
          <w:p>
            <w:pPr>
              <w:spacing w:before="100" w:after="100"/>
            </w:pPr>
            <w:r>
              <w:rPr>
                <w:rFonts w:ascii="Arial" w:hAnsi="Arial"/>
                <w:sz w:val="18"/>
              </w:rPr>
              <w:t>Transceivers and applications constrained by distance and loss</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Buildings depend on leased or bandwidth-limited links</w:t>
      </w:r>
    </w:p>
    <w:p>
      <w:pPr>
        <w:keepNext w:val="0"/>
        <w:spacing w:before="0" w:after="100" w:line="269" w:lineRule="auto"/>
        <w:ind w:left="187" w:hanging="187"/>
      </w:pPr>
      <w:r>
        <w:rPr>
          <w:rFonts w:ascii="Arial" w:hAnsi="Arial"/>
          <w:b w:val="0"/>
          <w:color w:val="181818"/>
          <w:sz w:val="20"/>
        </w:rPr>
        <w:t>•  Conduit, handhole or route ownership is uncertain</w:t>
      </w:r>
    </w:p>
    <w:p>
      <w:pPr>
        <w:keepNext w:val="0"/>
        <w:spacing w:before="0" w:after="100" w:line="269" w:lineRule="auto"/>
        <w:ind w:left="187" w:hanging="187"/>
      </w:pPr>
      <w:r>
        <w:rPr>
          <w:rFonts w:ascii="Arial" w:hAnsi="Arial"/>
          <w:b w:val="0"/>
          <w:color w:val="181818"/>
          <w:sz w:val="20"/>
        </w:rPr>
        <w:t>•  A new building or exterior system needs backbone connectivity</w:t>
      </w:r>
    </w:p>
    <w:p>
      <w:pPr>
        <w:keepNext w:val="0"/>
        <w:spacing w:before="0" w:after="100" w:line="269" w:lineRule="auto"/>
        <w:ind w:left="187" w:hanging="187"/>
      </w:pPr>
      <w:r>
        <w:rPr>
          <w:rFonts w:ascii="Arial" w:hAnsi="Arial"/>
          <w:b w:val="0"/>
          <w:color w:val="181818"/>
          <w:sz w:val="20"/>
        </w:rPr>
        <w:t>•  Existing fiber lacks strand maps or baseline tests</w:t>
      </w:r>
    </w:p>
    <w:p>
      <w:r>
        <w:br w:type="page"/>
      </w:r>
    </w:p>
    <w:p>
      <w:pPr>
        <w:keepNext/>
        <w:spacing w:before="1200" w:after="160" w:line="269" w:lineRule="auto"/>
      </w:pPr>
      <w:r>
        <w:rPr>
          <w:rFonts w:ascii="Arial" w:hAnsi="Arial"/>
          <w:b/>
          <w:color w:val="9B792B"/>
          <w:sz w:val="18"/>
        </w:rPr>
        <w:t>GHT-SVC-005 / CAMPUS AND OUTSIDE-PLANT FIBER</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Route and utility discovery</w:t>
      </w:r>
    </w:p>
    <w:p>
      <w:pPr>
        <w:keepNext w:val="0"/>
        <w:spacing w:before="0" w:after="80" w:line="269" w:lineRule="auto"/>
      </w:pPr>
      <w:r>
        <w:rPr>
          <w:rFonts w:ascii="Arial" w:hAnsi="Arial"/>
          <w:b w:val="0"/>
          <w:color w:val="181818"/>
          <w:sz w:val="20"/>
        </w:rPr>
        <w:t>Map endpoints, property limits, utilities, civil conditions, permits and access.</w:t>
      </w:r>
    </w:p>
    <w:p>
      <w:pPr>
        <w:keepNext w:val="0"/>
        <w:spacing w:before="0" w:after="140" w:line="269" w:lineRule="auto"/>
      </w:pPr>
      <w:r>
        <w:rPr>
          <w:rFonts w:ascii="Arial" w:hAnsi="Arial"/>
          <w:b/>
          <w:color w:val="181818"/>
          <w:sz w:val="18"/>
        </w:rPr>
        <w:t>Acceptance evidence: Route exhibit, risk register and utility coordination record</w:t>
      </w:r>
    </w:p>
    <w:p>
      <w:pPr>
        <w:keepNext/>
        <w:spacing w:before="200" w:after="120" w:line="269" w:lineRule="auto"/>
      </w:pPr>
      <w:r>
        <w:rPr>
          <w:rFonts w:ascii="Arial" w:hAnsi="Arial"/>
          <w:b/>
          <w:color w:val="9B792B"/>
          <w:sz w:val="24"/>
        </w:rPr>
        <w:t>02  Optical design</w:t>
      </w:r>
    </w:p>
    <w:p>
      <w:pPr>
        <w:keepNext w:val="0"/>
        <w:spacing w:before="0" w:after="80" w:line="269" w:lineRule="auto"/>
      </w:pPr>
      <w:r>
        <w:rPr>
          <w:rFonts w:ascii="Arial" w:hAnsi="Arial"/>
          <w:b w:val="0"/>
          <w:color w:val="181818"/>
          <w:sz w:val="20"/>
        </w:rPr>
        <w:t>Select topology, cable construction, fiber count, closures, entries and link-loss budget.</w:t>
      </w:r>
    </w:p>
    <w:p>
      <w:pPr>
        <w:keepNext w:val="0"/>
        <w:spacing w:before="0" w:after="140" w:line="269" w:lineRule="auto"/>
      </w:pPr>
      <w:r>
        <w:rPr>
          <w:rFonts w:ascii="Arial" w:hAnsi="Arial"/>
          <w:b/>
          <w:color w:val="181818"/>
          <w:sz w:val="18"/>
        </w:rPr>
        <w:t>Acceptance evidence: Strand plan, component schedule and calculated loss budget</w:t>
      </w:r>
    </w:p>
    <w:p>
      <w:pPr>
        <w:keepNext/>
        <w:spacing w:before="200" w:after="120" w:line="269" w:lineRule="auto"/>
      </w:pPr>
      <w:r>
        <w:rPr>
          <w:rFonts w:ascii="Arial" w:hAnsi="Arial"/>
          <w:b/>
          <w:color w:val="9B792B"/>
          <w:sz w:val="24"/>
        </w:rPr>
        <w:t>03  Construct and place</w:t>
      </w:r>
    </w:p>
    <w:p>
      <w:pPr>
        <w:keepNext w:val="0"/>
        <w:spacing w:before="0" w:after="80" w:line="269" w:lineRule="auto"/>
      </w:pPr>
      <w:r>
        <w:rPr>
          <w:rFonts w:ascii="Arial" w:hAnsi="Arial"/>
          <w:b w:val="0"/>
          <w:color w:val="181818"/>
          <w:sz w:val="20"/>
        </w:rPr>
        <w:t>Coordinate civil work, inspect pathway, place cable and protect building transitions.</w:t>
      </w:r>
    </w:p>
    <w:p>
      <w:pPr>
        <w:keepNext w:val="0"/>
        <w:spacing w:before="0" w:after="140" w:line="269" w:lineRule="auto"/>
      </w:pPr>
      <w:r>
        <w:rPr>
          <w:rFonts w:ascii="Arial" w:hAnsi="Arial"/>
          <w:b/>
          <w:color w:val="181818"/>
          <w:sz w:val="18"/>
        </w:rPr>
        <w:t>Acceptance evidence: Daily route photos, footage/marker log and installation exceptions</w:t>
      </w:r>
    </w:p>
    <w:p>
      <w:pPr>
        <w:keepNext/>
        <w:spacing w:before="200" w:after="120" w:line="269" w:lineRule="auto"/>
      </w:pPr>
      <w:r>
        <w:rPr>
          <w:rFonts w:ascii="Arial" w:hAnsi="Arial"/>
          <w:b/>
          <w:color w:val="9B792B"/>
          <w:sz w:val="24"/>
        </w:rPr>
        <w:t>04  Splice, test and document</w:t>
      </w:r>
    </w:p>
    <w:p>
      <w:pPr>
        <w:keepNext w:val="0"/>
        <w:spacing w:before="0" w:after="80" w:line="269" w:lineRule="auto"/>
      </w:pPr>
      <w:r>
        <w:rPr>
          <w:rFonts w:ascii="Arial" w:hAnsi="Arial"/>
          <w:b w:val="0"/>
          <w:color w:val="181818"/>
          <w:sz w:val="20"/>
        </w:rPr>
        <w:t>Complete splicing, end-to-end testing and route/strand closeout.</w:t>
      </w:r>
    </w:p>
    <w:p>
      <w:pPr>
        <w:keepNext w:val="0"/>
        <w:spacing w:before="0" w:after="140" w:line="269" w:lineRule="auto"/>
      </w:pPr>
      <w:r>
        <w:rPr>
          <w:rFonts w:ascii="Arial" w:hAnsi="Arial"/>
          <w:b/>
          <w:color w:val="181818"/>
          <w:sz w:val="18"/>
        </w:rPr>
        <w:t>Acceptance evidence: Splice records, OLTS results, OTDR traces where scoped and as-built map</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Route and entrance plan</w:t>
      </w:r>
    </w:p>
    <w:p>
      <w:pPr>
        <w:keepNext w:val="0"/>
        <w:spacing w:before="0" w:after="100" w:line="269" w:lineRule="auto"/>
        <w:ind w:left="187" w:hanging="187"/>
      </w:pPr>
      <w:r>
        <w:rPr>
          <w:rFonts w:ascii="Arial" w:hAnsi="Arial"/>
          <w:b w:val="0"/>
          <w:color w:val="181818"/>
          <w:sz w:val="20"/>
        </w:rPr>
        <w:t>•  Strand, splice and closure schedule</w:t>
      </w:r>
    </w:p>
    <w:p>
      <w:pPr>
        <w:keepNext w:val="0"/>
        <w:spacing w:before="0" w:after="100" w:line="269" w:lineRule="auto"/>
        <w:ind w:left="187" w:hanging="187"/>
      </w:pPr>
      <w:r>
        <w:rPr>
          <w:rFonts w:ascii="Arial" w:hAnsi="Arial"/>
          <w:b w:val="0"/>
          <w:color w:val="181818"/>
          <w:sz w:val="20"/>
        </w:rPr>
        <w:t>•  Calculated and measured loss records</w:t>
      </w:r>
    </w:p>
    <w:p>
      <w:pPr>
        <w:keepNext w:val="0"/>
        <w:spacing w:before="0" w:after="100" w:line="269" w:lineRule="auto"/>
        <w:ind w:left="187" w:hanging="187"/>
      </w:pPr>
      <w:r>
        <w:rPr>
          <w:rFonts w:ascii="Arial" w:hAnsi="Arial"/>
          <w:b w:val="0"/>
          <w:color w:val="181818"/>
          <w:sz w:val="20"/>
        </w:rPr>
        <w:t>•  Route-marker and closeout photo set</w:t>
      </w:r>
    </w:p>
    <w:p>
      <w:pPr>
        <w:keepNext w:val="0"/>
        <w:spacing w:before="0" w:after="100" w:line="269" w:lineRule="auto"/>
        <w:ind w:left="187" w:hanging="187"/>
      </w:pPr>
      <w:r>
        <w:rPr>
          <w:rFonts w:ascii="Arial" w:hAnsi="Arial"/>
          <w:b w:val="0"/>
          <w:color w:val="181818"/>
          <w:sz w:val="20"/>
        </w:rPr>
        <w:t>•  As-built map and restoration information</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GHT-SVC-005 / CAMPUS AND OUTSIDE-PLANT FIBER</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Endpoint locations, distance and service requirements</w:t>
      </w:r>
    </w:p>
    <w:p>
      <w:pPr>
        <w:keepNext w:val="0"/>
        <w:spacing w:before="0" w:after="100" w:line="269" w:lineRule="auto"/>
        <w:ind w:left="187" w:hanging="187"/>
      </w:pPr>
      <w:r>
        <w:rPr>
          <w:rFonts w:ascii="Arial" w:hAnsi="Arial"/>
          <w:b w:val="0"/>
          <w:color w:val="181818"/>
          <w:sz w:val="20"/>
        </w:rPr>
        <w:t>•  Property, easement, permit and utility information</w:t>
      </w:r>
    </w:p>
    <w:p>
      <w:pPr>
        <w:keepNext w:val="0"/>
        <w:spacing w:before="0" w:after="100" w:line="269" w:lineRule="auto"/>
        <w:ind w:left="187" w:hanging="187"/>
      </w:pPr>
      <w:r>
        <w:rPr>
          <w:rFonts w:ascii="Arial" w:hAnsi="Arial"/>
          <w:b w:val="0"/>
          <w:color w:val="181818"/>
          <w:sz w:val="20"/>
        </w:rPr>
        <w:t>•  Existing conduit, handhole, pole and entrance condition</w:t>
      </w:r>
    </w:p>
    <w:p>
      <w:pPr>
        <w:keepNext w:val="0"/>
        <w:spacing w:before="0" w:after="100" w:line="269" w:lineRule="auto"/>
        <w:ind w:left="187" w:hanging="187"/>
      </w:pPr>
      <w:r>
        <w:rPr>
          <w:rFonts w:ascii="Arial" w:hAnsi="Arial"/>
          <w:b w:val="0"/>
          <w:color w:val="181818"/>
          <w:sz w:val="20"/>
        </w:rPr>
        <w:t>•  Topology, fiber count and loss budget</w:t>
      </w:r>
    </w:p>
    <w:p>
      <w:pPr>
        <w:keepNext w:val="0"/>
        <w:spacing w:before="0" w:after="100" w:line="269" w:lineRule="auto"/>
        <w:ind w:left="187" w:hanging="187"/>
      </w:pPr>
      <w:r>
        <w:rPr>
          <w:rFonts w:ascii="Arial" w:hAnsi="Arial"/>
          <w:b w:val="0"/>
          <w:color w:val="181818"/>
          <w:sz w:val="20"/>
        </w:rPr>
        <w:t>•  Restoration, outage and future-growth requirements</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Utility locating, permitting and property rights</w:t>
      </w:r>
    </w:p>
    <w:p>
      <w:pPr>
        <w:keepNext w:val="0"/>
        <w:spacing w:before="0" w:after="100" w:line="269" w:lineRule="auto"/>
        <w:ind w:left="187" w:hanging="187"/>
      </w:pPr>
      <w:r>
        <w:rPr>
          <w:rFonts w:ascii="Arial" w:hAnsi="Arial"/>
          <w:b w:val="0"/>
          <w:color w:val="181818"/>
          <w:sz w:val="20"/>
        </w:rPr>
        <w:t>•  Water, temperature, loading and cable-environment compatibility</w:t>
      </w:r>
    </w:p>
    <w:p>
      <w:pPr>
        <w:keepNext w:val="0"/>
        <w:spacing w:before="0" w:after="100" w:line="269" w:lineRule="auto"/>
        <w:ind w:left="187" w:hanging="187"/>
      </w:pPr>
      <w:r>
        <w:rPr>
          <w:rFonts w:ascii="Arial" w:hAnsi="Arial"/>
          <w:b w:val="0"/>
          <w:color w:val="181818"/>
          <w:sz w:val="20"/>
        </w:rPr>
        <w:t>•  Pulling tension, bend radius and pathway condition</w:t>
      </w:r>
    </w:p>
    <w:p>
      <w:pPr>
        <w:keepNext w:val="0"/>
        <w:spacing w:before="0" w:after="100" w:line="269" w:lineRule="auto"/>
        <w:ind w:left="187" w:hanging="187"/>
      </w:pPr>
      <w:r>
        <w:rPr>
          <w:rFonts w:ascii="Arial" w:hAnsi="Arial"/>
          <w:b w:val="0"/>
          <w:color w:val="181818"/>
          <w:sz w:val="20"/>
        </w:rPr>
        <w:t>•  Civil restoration, weather and controlled work windows</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Fiber Optic Association — Fiber Optic Network Design</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Fiber Optic Association — Outside Plant Fiber Optic Installation</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Fiber Optic Association — FOA-6a: Fiber Optic Cable Plants</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BICSI — BICSI Library of ICT Manuals and Standards</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www.foa.org/tech/ref/basic/design.html" TargetMode="External"/><Relationship Id="rId13" Type="http://schemas.openxmlformats.org/officeDocument/2006/relationships/hyperlink" Target="https://www.foa.org/tech/ref/OSP/install.html" TargetMode="External"/><Relationship Id="rId14" Type="http://schemas.openxmlformats.org/officeDocument/2006/relationships/hyperlink" Target="https://www.foa.org/tech/ref/1pstandards/FOA-6.pdf" TargetMode="External"/><Relationship Id="rId15" Type="http://schemas.openxmlformats.org/officeDocument/2006/relationships/hyperlink" Target="https://shop.bicsi.org/technical-manuals/bicsi-library" TargetMode="External"/><Relationship Id="rId16" Type="http://schemas.openxmlformats.org/officeDocument/2006/relationships/hyperlink" Target="https://ght.network/services/physical-infrastructure/campus-outside-plant-fib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and outside-plant fiber — Service specification</dc:title>
  <dc:subject>Route and utility discovery, civil coordination, cable construction, splicing, testing, strand records, and restoration planning, combined into one build.</dc:subject>
  <dc:creator>Glass House Technologies</dc:creator>
  <cp:keywords>Physical infrastructure,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