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BUSINESS SYSTEMS</w:t>
      </w:r>
    </w:p>
    <w:p>
      <w:pPr>
        <w:keepNext/>
        <w:spacing w:before="0" w:after="180" w:line="269" w:lineRule="auto"/>
      </w:pPr>
      <w:r>
        <w:rPr>
          <w:rFonts w:ascii="Arial" w:hAnsi="Arial"/>
          <w:b/>
          <w:color w:val="181818"/>
          <w:sz w:val="48"/>
        </w:rPr>
        <w:t>Custom business software development</w:t>
      </w:r>
    </w:p>
    <w:p>
      <w:pPr>
        <w:keepNext w:val="0"/>
        <w:spacing w:before="0" w:after="240" w:line="269" w:lineRule="auto"/>
      </w:pPr>
      <w:r>
        <w:rPr>
          <w:rFonts w:ascii="Arial" w:hAnsi="Arial"/>
          <w:b w:val="0"/>
          <w:color w:val="646464"/>
          <w:sz w:val="17"/>
        </w:rPr>
        <w:t>GHT-SVC-039   •   Revision 1.0   •   06 September 2026   •   1 / 3</w:t>
      </w:r>
    </w:p>
    <w:p>
      <w:pPr>
        <w:keepNext w:val="0"/>
        <w:spacing w:before="0" w:after="180" w:line="269" w:lineRule="auto"/>
      </w:pPr>
      <w:r>
        <w:rPr>
          <w:rFonts w:ascii="Arial" w:hAnsi="Arial"/>
          <w:b w:val="0"/>
          <w:color w:val="181818"/>
          <w:sz w:val="22"/>
        </w:rPr>
        <w:t>Design, build, integrate, test, and hand over an internal application around the customer’s named business workflow and operating responsibilities.</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An accepted application with defined user roles, traceable records, documented integrations, tested business tasks, and an agreed maintenance and ownership arrangement.</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The service can cover inventory tools, employee portals, order tracking, work orders, forms, approvals, and management dashboards. Scope is expressed as user tasks, data records, supported integrations, and acceptance criteria.</w:t>
      </w:r>
    </w:p>
    <w:p>
      <w:pPr>
        <w:keepNext w:val="0"/>
        <w:spacing w:before="0" w:after="120" w:line="269" w:lineRule="auto"/>
      </w:pPr>
      <w:r>
        <w:rPr>
          <w:rFonts w:ascii="Arial" w:hAnsi="Arial"/>
          <w:b w:val="0"/>
          <w:color w:val="181818"/>
          <w:sz w:val="20"/>
        </w:rPr>
        <w:t>Discovery establishes who uses the system, which existing application owns each record, what the new software may change, and how exceptions are handled. A prototype and pilot confirm the workflow before wider release.</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Users and tasks</w:t>
            </w:r>
          </w:p>
        </w:tc>
        <w:tc>
          <w:tcPr>
            <w:tcW w:type="dxa" w:w="7200"/>
            <w:shd w:fill="F4F1E9"/>
          </w:tcPr>
          <w:p>
            <w:pPr>
              <w:spacing w:before="100" w:after="100"/>
            </w:pPr>
            <w:r>
              <w:rPr>
                <w:rFonts w:ascii="Arial" w:hAnsi="Arial"/>
                <w:sz w:val="18"/>
              </w:rPr>
              <w:t>Roles, permissions, screens, input validation, and accessibility needs</w:t>
            </w:r>
          </w:p>
        </w:tc>
      </w:tr>
      <w:tr>
        <w:tc>
          <w:tcPr>
            <w:tcW w:type="dxa" w:w="2160"/>
            <w:shd w:fill="FFFFFF"/>
          </w:tcPr>
          <w:p>
            <w:pPr>
              <w:spacing w:before="100" w:after="100"/>
            </w:pPr>
            <w:r>
              <w:rPr>
                <w:rFonts w:ascii="Arial" w:hAnsi="Arial"/>
                <w:b/>
                <w:sz w:val="18"/>
              </w:rPr>
              <w:t>02  Application</w:t>
            </w:r>
          </w:p>
        </w:tc>
        <w:tc>
          <w:tcPr>
            <w:tcW w:type="dxa" w:w="7200"/>
            <w:shd w:fill="FFFFFF"/>
          </w:tcPr>
          <w:p>
            <w:pPr>
              <w:spacing w:before="100" w:after="100"/>
            </w:pPr>
            <w:r>
              <w:rPr>
                <w:rFonts w:ascii="Arial" w:hAnsi="Arial"/>
                <w:sz w:val="18"/>
              </w:rPr>
              <w:t>Business rules, transactions, audit records, and exception handling</w:t>
            </w:r>
          </w:p>
        </w:tc>
      </w:tr>
      <w:tr>
        <w:tc>
          <w:tcPr>
            <w:tcW w:type="dxa" w:w="2160"/>
            <w:shd w:fill="F4F1E9"/>
          </w:tcPr>
          <w:p>
            <w:pPr>
              <w:spacing w:before="100" w:after="100"/>
            </w:pPr>
            <w:r>
              <w:rPr>
                <w:rFonts w:ascii="Arial" w:hAnsi="Arial"/>
                <w:b/>
                <w:sz w:val="18"/>
              </w:rPr>
              <w:t>03  Data and integration</w:t>
            </w:r>
          </w:p>
        </w:tc>
        <w:tc>
          <w:tcPr>
            <w:tcW w:type="dxa" w:w="7200"/>
            <w:shd w:fill="F4F1E9"/>
          </w:tcPr>
          <w:p>
            <w:pPr>
              <w:spacing w:before="100" w:after="100"/>
            </w:pPr>
            <w:r>
              <w:rPr>
                <w:rFonts w:ascii="Arial" w:hAnsi="Arial"/>
                <w:sz w:val="18"/>
              </w:rPr>
              <w:t>System of record, interfaces, migration, reconciliation, and exports</w:t>
            </w:r>
          </w:p>
        </w:tc>
      </w:tr>
      <w:tr>
        <w:tc>
          <w:tcPr>
            <w:tcW w:type="dxa" w:w="2160"/>
            <w:shd w:fill="FFFFFF"/>
          </w:tcPr>
          <w:p>
            <w:pPr>
              <w:spacing w:before="100" w:after="100"/>
            </w:pPr>
            <w:r>
              <w:rPr>
                <w:rFonts w:ascii="Arial" w:hAnsi="Arial"/>
                <w:b/>
                <w:sz w:val="18"/>
              </w:rPr>
              <w:t>04  Operations</w:t>
            </w:r>
          </w:p>
        </w:tc>
        <w:tc>
          <w:tcPr>
            <w:tcW w:type="dxa" w:w="7200"/>
            <w:shd w:fill="FFFFFF"/>
          </w:tcPr>
          <w:p>
            <w:pPr>
              <w:spacing w:before="100" w:after="100"/>
            </w:pPr>
            <w:r>
              <w:rPr>
                <w:rFonts w:ascii="Arial" w:hAnsi="Arial"/>
                <w:sz w:val="18"/>
              </w:rPr>
              <w:t>Hosting, backups, logging, updates, documentation, and support</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A shared spreadsheet or manual process no longer supports the operation</w:t>
      </w:r>
    </w:p>
    <w:p>
      <w:pPr>
        <w:keepNext w:val="0"/>
        <w:spacing w:before="0" w:after="100" w:line="269" w:lineRule="auto"/>
        <w:ind w:left="187" w:hanging="187"/>
      </w:pPr>
      <w:r>
        <w:rPr>
          <w:rFonts w:ascii="Arial" w:hAnsi="Arial"/>
          <w:b w:val="0"/>
          <w:color w:val="181818"/>
          <w:sz w:val="20"/>
        </w:rPr>
        <w:t>•  Existing applications need a supported connection or a missing workflow</w:t>
      </w:r>
    </w:p>
    <w:p>
      <w:pPr>
        <w:keepNext w:val="0"/>
        <w:spacing w:before="0" w:after="100" w:line="269" w:lineRule="auto"/>
        <w:ind w:left="187" w:hanging="187"/>
      </w:pPr>
      <w:r>
        <w:rPr>
          <w:rFonts w:ascii="Arial" w:hAnsi="Arial"/>
          <w:b w:val="0"/>
          <w:color w:val="181818"/>
          <w:sz w:val="20"/>
        </w:rPr>
        <w:t>•  The business needs role-specific screens, records, and approvals</w:t>
      </w:r>
    </w:p>
    <w:p>
      <w:r>
        <w:br w:type="page"/>
      </w:r>
    </w:p>
    <w:p>
      <w:pPr>
        <w:keepNext/>
        <w:spacing w:before="1200" w:after="160" w:line="269" w:lineRule="auto"/>
      </w:pPr>
      <w:r>
        <w:rPr>
          <w:rFonts w:ascii="Arial" w:hAnsi="Arial"/>
          <w:b/>
          <w:color w:val="9B792B"/>
          <w:sz w:val="18"/>
        </w:rPr>
        <w:t>GHT-SVC-039 / CUSTOM BUSINESS SOFTWARE DEVELOPMENT</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Define the product</w:t>
      </w:r>
    </w:p>
    <w:p>
      <w:pPr>
        <w:keepNext w:val="0"/>
        <w:spacing w:before="0" w:after="80" w:line="269" w:lineRule="auto"/>
      </w:pPr>
      <w:r>
        <w:rPr>
          <w:rFonts w:ascii="Arial" w:hAnsi="Arial"/>
          <w:b w:val="0"/>
          <w:color w:val="181818"/>
          <w:sz w:val="20"/>
        </w:rPr>
        <w:t>Map current and proposed workflows; agree on users, records, integrations, scope priorities, and measurable acceptance criteria.</w:t>
      </w:r>
    </w:p>
    <w:p>
      <w:pPr>
        <w:keepNext w:val="0"/>
        <w:spacing w:before="0" w:after="140" w:line="269" w:lineRule="auto"/>
      </w:pPr>
      <w:r>
        <w:rPr>
          <w:rFonts w:ascii="Arial" w:hAnsi="Arial"/>
          <w:b/>
          <w:color w:val="181818"/>
          <w:sz w:val="18"/>
        </w:rPr>
        <w:t>Acceptance evidence: Approved requirements, data model, role matrix, and acceptance plan.</w:t>
      </w:r>
    </w:p>
    <w:p>
      <w:pPr>
        <w:keepNext/>
        <w:spacing w:before="200" w:after="120" w:line="269" w:lineRule="auto"/>
      </w:pPr>
      <w:r>
        <w:rPr>
          <w:rFonts w:ascii="Arial" w:hAnsi="Arial"/>
          <w:b/>
          <w:color w:val="9B792B"/>
          <w:sz w:val="24"/>
        </w:rPr>
        <w:t>02  Prototype and agree</w:t>
      </w:r>
    </w:p>
    <w:p>
      <w:pPr>
        <w:keepNext w:val="0"/>
        <w:spacing w:before="0" w:after="80" w:line="269" w:lineRule="auto"/>
      </w:pPr>
      <w:r>
        <w:rPr>
          <w:rFonts w:ascii="Arial" w:hAnsi="Arial"/>
          <w:b w:val="0"/>
          <w:color w:val="181818"/>
          <w:sz w:val="20"/>
        </w:rPr>
        <w:t>Demonstrate key screens and realistic sample tasks; resolve usability and integration dependencies before implementation expands.</w:t>
      </w:r>
    </w:p>
    <w:p>
      <w:pPr>
        <w:keepNext w:val="0"/>
        <w:spacing w:before="0" w:after="140" w:line="269" w:lineRule="auto"/>
      </w:pPr>
      <w:r>
        <w:rPr>
          <w:rFonts w:ascii="Arial" w:hAnsi="Arial"/>
          <w:b/>
          <w:color w:val="181818"/>
          <w:sz w:val="18"/>
        </w:rPr>
        <w:t>Acceptance evidence: Reviewed prototype, task flows, and integration contracts.</w:t>
      </w:r>
    </w:p>
    <w:p>
      <w:pPr>
        <w:keepNext/>
        <w:spacing w:before="200" w:after="120" w:line="269" w:lineRule="auto"/>
      </w:pPr>
      <w:r>
        <w:rPr>
          <w:rFonts w:ascii="Arial" w:hAnsi="Arial"/>
          <w:b/>
          <w:color w:val="9B792B"/>
          <w:sz w:val="24"/>
        </w:rPr>
        <w:t>03  Build and test</w:t>
      </w:r>
    </w:p>
    <w:p>
      <w:pPr>
        <w:keepNext w:val="0"/>
        <w:spacing w:before="0" w:after="80" w:line="269" w:lineRule="auto"/>
      </w:pPr>
      <w:r>
        <w:rPr>
          <w:rFonts w:ascii="Arial" w:hAnsi="Arial"/>
          <w:b w:val="0"/>
          <w:color w:val="181818"/>
          <w:sz w:val="20"/>
        </w:rPr>
        <w:t>Implement the approved workflows, permissions, validation, auditability, and supported interfaces; run functional and agreed security tests.</w:t>
      </w:r>
    </w:p>
    <w:p>
      <w:pPr>
        <w:keepNext w:val="0"/>
        <w:spacing w:before="0" w:after="140" w:line="269" w:lineRule="auto"/>
      </w:pPr>
      <w:r>
        <w:rPr>
          <w:rFonts w:ascii="Arial" w:hAnsi="Arial"/>
          <w:b/>
          <w:color w:val="181818"/>
          <w:sz w:val="18"/>
        </w:rPr>
        <w:t>Acceptance evidence: Versioned release candidate, test results, and resolved defect record.</w:t>
      </w:r>
    </w:p>
    <w:p>
      <w:pPr>
        <w:keepNext/>
        <w:spacing w:before="200" w:after="120" w:line="269" w:lineRule="auto"/>
      </w:pPr>
      <w:r>
        <w:rPr>
          <w:rFonts w:ascii="Arial" w:hAnsi="Arial"/>
          <w:b/>
          <w:color w:val="9B792B"/>
          <w:sz w:val="24"/>
        </w:rPr>
        <w:t>04  Pilot and release</w:t>
      </w:r>
    </w:p>
    <w:p>
      <w:pPr>
        <w:keepNext w:val="0"/>
        <w:spacing w:before="0" w:after="80" w:line="269" w:lineRule="auto"/>
      </w:pPr>
      <w:r>
        <w:rPr>
          <w:rFonts w:ascii="Arial" w:hAnsi="Arial"/>
          <w:b w:val="0"/>
          <w:color w:val="181818"/>
          <w:sz w:val="20"/>
        </w:rPr>
        <w:t>Reconcile migrated records, run user acceptance tests, prepare rollback and recovery, train the owner, and deploy the approved release.</w:t>
      </w:r>
    </w:p>
    <w:p>
      <w:pPr>
        <w:keepNext w:val="0"/>
        <w:spacing w:before="0" w:after="140" w:line="269" w:lineRule="auto"/>
      </w:pPr>
      <w:r>
        <w:rPr>
          <w:rFonts w:ascii="Arial" w:hAnsi="Arial"/>
          <w:b/>
          <w:color w:val="181818"/>
          <w:sz w:val="18"/>
        </w:rPr>
        <w:t>Acceptance evidence: Acceptance signoff, release record, documentation, and support handover.</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Requirements, data dictionary, role matrix, and reviewed interface design</w:t>
      </w:r>
    </w:p>
    <w:p>
      <w:pPr>
        <w:keepNext w:val="0"/>
        <w:spacing w:before="0" w:after="100" w:line="269" w:lineRule="auto"/>
        <w:ind w:left="187" w:hanging="187"/>
      </w:pPr>
      <w:r>
        <w:rPr>
          <w:rFonts w:ascii="Arial" w:hAnsi="Arial"/>
          <w:b w:val="0"/>
          <w:color w:val="181818"/>
          <w:sz w:val="20"/>
        </w:rPr>
        <w:t>•  Implemented and versioned application for the agreed scope</w:t>
      </w:r>
    </w:p>
    <w:p>
      <w:pPr>
        <w:keepNext w:val="0"/>
        <w:spacing w:before="0" w:after="100" w:line="269" w:lineRule="auto"/>
        <w:ind w:left="187" w:hanging="187"/>
      </w:pPr>
      <w:r>
        <w:rPr>
          <w:rFonts w:ascii="Arial" w:hAnsi="Arial"/>
          <w:b w:val="0"/>
          <w:color w:val="181818"/>
          <w:sz w:val="20"/>
        </w:rPr>
        <w:t>•  Integration and data-reconciliation documentation</w:t>
      </w:r>
    </w:p>
    <w:p>
      <w:pPr>
        <w:keepNext w:val="0"/>
        <w:spacing w:before="0" w:after="100" w:line="269" w:lineRule="auto"/>
        <w:ind w:left="187" w:hanging="187"/>
      </w:pPr>
      <w:r>
        <w:rPr>
          <w:rFonts w:ascii="Arial" w:hAnsi="Arial"/>
          <w:b w:val="0"/>
          <w:color w:val="181818"/>
          <w:sz w:val="20"/>
        </w:rPr>
        <w:t>•  Functional, access-control, recovery, and acceptance-test results</w:t>
      </w:r>
    </w:p>
    <w:p>
      <w:pPr>
        <w:keepNext w:val="0"/>
        <w:spacing w:before="0" w:after="100" w:line="269" w:lineRule="auto"/>
        <w:ind w:left="187" w:hanging="187"/>
      </w:pPr>
      <w:r>
        <w:rPr>
          <w:rFonts w:ascii="Arial" w:hAnsi="Arial"/>
          <w:b w:val="0"/>
          <w:color w:val="181818"/>
          <w:sz w:val="20"/>
        </w:rPr>
        <w:t>•  Deployment/runbook, user training, and agreed source-code or licensing handover</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GHT-SVC-039 / CUSTOM BUSINESS SOFTWARE DEVELOPMENT</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Named users, roles, workflows, and business acceptance owner</w:t>
      </w:r>
    </w:p>
    <w:p>
      <w:pPr>
        <w:keepNext w:val="0"/>
        <w:spacing w:before="0" w:after="100" w:line="269" w:lineRule="auto"/>
        <w:ind w:left="187" w:hanging="187"/>
      </w:pPr>
      <w:r>
        <w:rPr>
          <w:rFonts w:ascii="Arial" w:hAnsi="Arial"/>
          <w:b w:val="0"/>
          <w:color w:val="181818"/>
          <w:sz w:val="20"/>
        </w:rPr>
        <w:t>•  Record definitions, data sources, volumes, retention, and migration scope</w:t>
      </w:r>
    </w:p>
    <w:p>
      <w:pPr>
        <w:keepNext w:val="0"/>
        <w:spacing w:before="0" w:after="100" w:line="269" w:lineRule="auto"/>
        <w:ind w:left="187" w:hanging="187"/>
      </w:pPr>
      <w:r>
        <w:rPr>
          <w:rFonts w:ascii="Arial" w:hAnsi="Arial"/>
          <w:b w:val="0"/>
          <w:color w:val="181818"/>
          <w:sz w:val="20"/>
        </w:rPr>
        <w:t>•  Existing vendor APIs, licenses, test environments, and integration permissions</w:t>
      </w:r>
    </w:p>
    <w:p>
      <w:pPr>
        <w:keepNext w:val="0"/>
        <w:spacing w:before="0" w:after="100" w:line="269" w:lineRule="auto"/>
        <w:ind w:left="187" w:hanging="187"/>
      </w:pPr>
      <w:r>
        <w:rPr>
          <w:rFonts w:ascii="Arial" w:hAnsi="Arial"/>
          <w:b w:val="0"/>
          <w:color w:val="181818"/>
          <w:sz w:val="20"/>
        </w:rPr>
        <w:t>•  Hosting, identity, backup, security, accessibility, and device requirements</w:t>
      </w:r>
    </w:p>
    <w:p>
      <w:pPr>
        <w:keepNext w:val="0"/>
        <w:spacing w:before="0" w:after="100" w:line="269" w:lineRule="auto"/>
        <w:ind w:left="187" w:hanging="187"/>
      </w:pPr>
      <w:r>
        <w:rPr>
          <w:rFonts w:ascii="Arial" w:hAnsi="Arial"/>
          <w:b w:val="0"/>
          <w:color w:val="181818"/>
          <w:sz w:val="20"/>
        </w:rPr>
        <w:t>•  Feature priorities, project milestones, ownership terms, and maintenance coverage</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Features, source-code ownership, licensing, warranties, hosting fees, and maintenance are defined in the signed agreement.</w:t>
      </w:r>
    </w:p>
    <w:p>
      <w:pPr>
        <w:keepNext w:val="0"/>
        <w:spacing w:before="0" w:after="100" w:line="269" w:lineRule="auto"/>
        <w:ind w:left="187" w:hanging="187"/>
      </w:pPr>
      <w:r>
        <w:rPr>
          <w:rFonts w:ascii="Arial" w:hAnsi="Arial"/>
          <w:b w:val="0"/>
          <w:color w:val="181818"/>
          <w:sz w:val="20"/>
        </w:rPr>
        <w:t>•  Third-party integrations require supported interfaces and appropriate vendor access; vendor changes may require a separately scoped update.</w:t>
      </w:r>
    </w:p>
    <w:p>
      <w:pPr>
        <w:keepNext w:val="0"/>
        <w:spacing w:before="0" w:after="100" w:line="269" w:lineRule="auto"/>
        <w:ind w:left="187" w:hanging="187"/>
      </w:pPr>
      <w:r>
        <w:rPr>
          <w:rFonts w:ascii="Arial" w:hAnsi="Arial"/>
          <w:b w:val="0"/>
          <w:color w:val="181818"/>
          <w:sz w:val="20"/>
        </w:rPr>
        <w:t>•  Payment processing uses the selected provider’s approved integration; collection of payment-card data is not assumed.</w:t>
      </w:r>
    </w:p>
    <w:p>
      <w:pPr>
        <w:keepNext w:val="0"/>
        <w:spacing w:before="0" w:after="100" w:line="269" w:lineRule="auto"/>
        <w:ind w:left="187" w:hanging="187"/>
      </w:pPr>
      <w:r>
        <w:rPr>
          <w:rFonts w:ascii="Arial" w:hAnsi="Arial"/>
          <w:b w:val="0"/>
          <w:color w:val="181818"/>
          <w:sz w:val="20"/>
        </w:rPr>
        <w:t>•  Unlimited revisions, historical data repair, external certifications, and ongoing support are not included unless expressly scoped.</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NIST — Secure Software Development Framework</w:t>
        </w:r>
      </w:hyperlink>
      <w:r>
        <w:rPr>
          <w:sz w:val="16"/>
        </w:rPr>
        <w:t xml:space="preserve">  |  Source review: 2026-09-06</w:t>
      </w:r>
    </w:p>
    <w:p>
      <w:pPr>
        <w:keepNext w:val="0"/>
        <w:spacing w:before="0" w:after="140" w:line="269" w:lineRule="auto"/>
      </w:pPr>
      <w:r>
        <w:rPr>
          <w:rFonts w:ascii="Arial" w:hAnsi="Arial"/>
          <w:b w:val="0"/>
          <w:color w:val="181818"/>
          <w:sz w:val="17"/>
        </w:rPr>
      </w:r>
      <w:hyperlink r:id="rId13">
        <w:r>
          <w:rPr>
            <w:color w:val="9B792B"/>
          </w:rPr>
          <w:t>OWASP — Application Security Verification Standard</w:t>
        </w:r>
      </w:hyperlink>
      <w:r>
        <w:rPr>
          <w:sz w:val="16"/>
        </w:rPr>
        <w:t xml:space="preserve">  |  Source review: 2026-09-06</w:t>
      </w:r>
    </w:p>
    <w:p>
      <w:pPr>
        <w:keepNext w:val="0"/>
        <w:spacing w:before="0" w:after="140" w:line="269" w:lineRule="auto"/>
      </w:pPr>
      <w:r>
        <w:rPr>
          <w:rFonts w:ascii="Arial" w:hAnsi="Arial"/>
          <w:b w:val="0"/>
          <w:color w:val="181818"/>
          <w:sz w:val="17"/>
        </w:rPr>
      </w:r>
      <w:hyperlink r:id="rId14">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csrc.nist.gov/pubs/sp/800/218/final" TargetMode="External"/><Relationship Id="rId13" Type="http://schemas.openxmlformats.org/officeDocument/2006/relationships/hyperlink" Target="https://owasp.org/www-project-application-security-verification-standard/" TargetMode="External"/><Relationship Id="rId14" Type="http://schemas.openxmlformats.org/officeDocument/2006/relationships/hyperlink" Target="https://ght.network/business-solu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 business software development — Service specification</dc:title>
  <dc:subject>Design, build, integrate, test, and hand over an internal application around the customer’s named business workflow and operating responsibilities.</dc:subject>
  <dc:creator>Glass House Technologies</dc:creator>
  <cp:keywords>Business systems,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