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keepNext/>
        <w:spacing w:before="1200" w:after="160" w:line="269" w:lineRule="auto"/>
      </w:pPr>
      <w:r>
        <w:rPr>
          <w:rFonts w:ascii="Arial" w:hAnsi="Arial"/>
          <w:b/>
          <w:color w:val="9B792B"/>
          <w:sz w:val="18"/>
        </w:rPr>
        <w:t>SERVICE SPECIFICATION / PHYSICAL INFRASTRUCTURE</w:t>
      </w:r>
    </w:p>
    <w:p>
      <w:pPr>
        <w:keepNext/>
        <w:spacing w:before="0" w:after="180" w:line="269" w:lineRule="auto"/>
      </w:pPr>
      <w:r>
        <w:rPr>
          <w:rFonts w:ascii="Arial" w:hAnsi="Arial"/>
          <w:b/>
          <w:color w:val="181818"/>
          <w:sz w:val="48"/>
        </w:rPr>
        <w:t>Dark fiber and carrier demarcation</w:t>
      </w:r>
    </w:p>
    <w:p>
      <w:pPr>
        <w:keepNext w:val="0"/>
        <w:spacing w:before="0" w:after="240" w:line="269" w:lineRule="auto"/>
      </w:pPr>
      <w:r>
        <w:rPr>
          <w:rFonts w:ascii="Arial" w:hAnsi="Arial"/>
          <w:b w:val="0"/>
          <w:color w:val="646464"/>
          <w:sz w:val="17"/>
        </w:rPr>
        <w:t>GHT-SVC-008   •   Revision 1.0   •   06 September 2026   •   1 / 3</w:t>
      </w:r>
    </w:p>
    <w:p>
      <w:pPr>
        <w:keepNext w:val="0"/>
        <w:spacing w:before="0" w:after="180" w:line="269" w:lineRule="auto"/>
      </w:pPr>
      <w:r>
        <w:rPr>
          <w:rFonts w:ascii="Arial" w:hAnsi="Arial"/>
          <w:b w:val="0"/>
          <w:color w:val="181818"/>
          <w:sz w:val="22"/>
        </w:rPr>
        <w:t>Dark fiber provides a passive optical path; carrier demarcation pins down the port, strand, inside extension, optics, power, testing, and repair responsibilities on each side.</w:t>
      </w:r>
    </w:p>
    <w:p>
      <w:pPr>
        <w:keepNext/>
        <w:spacing w:before="200" w:after="120" w:line="269" w:lineRule="auto"/>
      </w:pPr>
      <w:r>
        <w:rPr>
          <w:rFonts w:ascii="Arial" w:hAnsi="Arial"/>
          <w:b/>
          <w:color w:val="9B792B"/>
          <w:sz w:val="24"/>
        </w:rPr>
        <w:t>Intended outcome</w:t>
      </w:r>
    </w:p>
    <w:p>
      <w:pPr>
        <w:keepNext w:val="0"/>
        <w:spacing w:before="0" w:after="140" w:line="269" w:lineRule="auto"/>
      </w:pPr>
      <w:r>
        <w:rPr>
          <w:rFonts w:ascii="Arial" w:hAnsi="Arial"/>
          <w:b/>
          <w:color w:val="181818"/>
          <w:sz w:val="22"/>
        </w:rPr>
        <w:t>An identified handoff with mapped strands and ports, compatible interfaces, baseline test results, and named support contacts.</w:t>
      </w:r>
    </w:p>
    <w:p>
      <w:pPr>
        <w:keepNext/>
        <w:spacing w:before="200" w:after="120" w:line="269" w:lineRule="auto"/>
      </w:pPr>
      <w:r>
        <w:rPr>
          <w:rFonts w:ascii="Arial" w:hAnsi="Arial"/>
          <w:b/>
          <w:color w:val="9B792B"/>
          <w:sz w:val="24"/>
        </w:rPr>
        <w:t>Service scope</w:t>
      </w:r>
    </w:p>
    <w:p>
      <w:pPr>
        <w:keepNext w:val="0"/>
        <w:spacing w:before="0" w:after="120" w:line="269" w:lineRule="auto"/>
      </w:pPr>
      <w:r>
        <w:rPr>
          <w:rFonts w:ascii="Arial" w:hAnsi="Arial"/>
          <w:b w:val="0"/>
          <w:color w:val="181818"/>
          <w:sz w:val="20"/>
        </w:rPr>
        <w:t>Dark fiber provides a passive path; the owner or service customer supplies compatible optics and accepts responsibility for the optical design within the contract boundary. Availability, route diversity and repair terms come from the actual agreement, not the phrase dark fiber.</w:t>
      </w:r>
    </w:p>
    <w:p>
      <w:pPr>
        <w:keepNext w:val="0"/>
        <w:spacing w:before="0" w:after="120" w:line="269" w:lineRule="auto"/>
      </w:pPr>
      <w:r>
        <w:rPr>
          <w:rFonts w:ascii="Arial" w:hAnsi="Arial"/>
          <w:b w:val="0"/>
          <w:color w:val="181818"/>
          <w:sz w:val="20"/>
        </w:rPr>
        <w:t>The demarc may be a carrier enclosure, patch panel, network interface device or documented port. Power, rack space, entrance conduit, inside extension and cross-connect work must be assigned before the carrier arrives.</w:t>
      </w:r>
    </w:p>
    <w:p>
      <w:pPr>
        <w:keepNext/>
        <w:spacing w:before="200" w:after="120" w:line="269" w:lineRule="auto"/>
      </w:pPr>
      <w:r>
        <w:rPr>
          <w:rFonts w:ascii="Arial" w:hAnsi="Arial"/>
          <w:b/>
          <w:color w:val="9B792B"/>
          <w:sz w:val="24"/>
        </w:rPr>
        <w:t>How the system fits together</w:t>
      </w:r>
    </w:p>
    <w:tbl>
      <w:tblPr>
        <w:tblW w:type="auto" w:w="0"/>
        <w:tblLayout w:type="fixed"/>
        <w:tblLook w:firstColumn="1" w:firstRow="1" w:lastColumn="0" w:lastRow="0" w:noHBand="0" w:noVBand="1" w:val="04A0"/>
      </w:tblPr>
      <w:tblGrid>
        <w:gridCol w:w="2160"/>
        <w:gridCol w:w="7200"/>
      </w:tblGrid>
      <w:tr>
        <w:tc>
          <w:tcPr>
            <w:tcW w:type="dxa" w:w="2160"/>
            <w:shd w:fill="F4F1E9"/>
          </w:tcPr>
          <w:p>
            <w:pPr>
              <w:spacing w:before="100" w:after="100"/>
            </w:pPr>
            <w:r>
              <w:rPr>
                <w:rFonts w:ascii="Arial" w:hAnsi="Arial"/>
                <w:b/>
                <w:sz w:val="18"/>
              </w:rPr>
              <w:t>01  Provider network</w:t>
            </w:r>
          </w:p>
        </w:tc>
        <w:tc>
          <w:tcPr>
            <w:tcW w:type="dxa" w:w="7200"/>
            <w:shd w:fill="F4F1E9"/>
          </w:tcPr>
          <w:p>
            <w:pPr>
              <w:spacing w:before="100" w:after="100"/>
            </w:pPr>
            <w:r>
              <w:rPr>
                <w:rFonts w:ascii="Arial" w:hAnsi="Arial"/>
                <w:sz w:val="18"/>
              </w:rPr>
              <w:t>Carrier-owned route and transmission responsibility</w:t>
            </w:r>
          </w:p>
        </w:tc>
      </w:tr>
      <w:tr>
        <w:tc>
          <w:tcPr>
            <w:tcW w:type="dxa" w:w="2160"/>
            <w:shd w:fill="FFFFFF"/>
          </w:tcPr>
          <w:p>
            <w:pPr>
              <w:spacing w:before="100" w:after="100"/>
            </w:pPr>
            <w:r>
              <w:rPr>
                <w:rFonts w:ascii="Arial" w:hAnsi="Arial"/>
                <w:b/>
                <w:sz w:val="18"/>
              </w:rPr>
              <w:t>02  Entrance facility</w:t>
            </w:r>
          </w:p>
        </w:tc>
        <w:tc>
          <w:tcPr>
            <w:tcW w:type="dxa" w:w="7200"/>
            <w:shd w:fill="FFFFFF"/>
          </w:tcPr>
          <w:p>
            <w:pPr>
              <w:spacing w:before="100" w:after="100"/>
            </w:pPr>
            <w:r>
              <w:rPr>
                <w:rFonts w:ascii="Arial" w:hAnsi="Arial"/>
                <w:sz w:val="18"/>
              </w:rPr>
              <w:t>Building entry, protection and provider equipment space</w:t>
            </w:r>
          </w:p>
        </w:tc>
      </w:tr>
      <w:tr>
        <w:tc>
          <w:tcPr>
            <w:tcW w:type="dxa" w:w="2160"/>
            <w:shd w:fill="F4F1E9"/>
          </w:tcPr>
          <w:p>
            <w:pPr>
              <w:spacing w:before="100" w:after="100"/>
            </w:pPr>
            <w:r>
              <w:rPr>
                <w:rFonts w:ascii="Arial" w:hAnsi="Arial"/>
                <w:b/>
                <w:sz w:val="18"/>
              </w:rPr>
              <w:t>03  Demarcation</w:t>
            </w:r>
          </w:p>
        </w:tc>
        <w:tc>
          <w:tcPr>
            <w:tcW w:type="dxa" w:w="7200"/>
            <w:shd w:fill="F4F1E9"/>
          </w:tcPr>
          <w:p>
            <w:pPr>
              <w:spacing w:before="100" w:after="100"/>
            </w:pPr>
            <w:r>
              <w:rPr>
                <w:rFonts w:ascii="Arial" w:hAnsi="Arial"/>
                <w:sz w:val="18"/>
              </w:rPr>
              <w:t>Explicit port or panel where responsibility changes</w:t>
            </w:r>
          </w:p>
        </w:tc>
      </w:tr>
      <w:tr>
        <w:tc>
          <w:tcPr>
            <w:tcW w:type="dxa" w:w="2160"/>
            <w:shd w:fill="FFFFFF"/>
          </w:tcPr>
          <w:p>
            <w:pPr>
              <w:spacing w:before="100" w:after="100"/>
            </w:pPr>
            <w:r>
              <w:rPr>
                <w:rFonts w:ascii="Arial" w:hAnsi="Arial"/>
                <w:b/>
                <w:sz w:val="18"/>
              </w:rPr>
              <w:t>04  Customer extension</w:t>
            </w:r>
          </w:p>
        </w:tc>
        <w:tc>
          <w:tcPr>
            <w:tcW w:type="dxa" w:w="7200"/>
            <w:shd w:fill="FFFFFF"/>
          </w:tcPr>
          <w:p>
            <w:pPr>
              <w:spacing w:before="100" w:after="100"/>
            </w:pPr>
            <w:r>
              <w:rPr>
                <w:rFonts w:ascii="Arial" w:hAnsi="Arial"/>
                <w:sz w:val="18"/>
              </w:rPr>
              <w:t>Customer-owned fiber, optics, power and network beyond the handoff</w:t>
            </w:r>
          </w:p>
        </w:tc>
      </w:tr>
    </w:tbl>
    <w:p>
      <w:pPr>
        <w:keepNext/>
        <w:spacing w:before="200" w:after="120" w:line="269" w:lineRule="auto"/>
      </w:pPr>
      <w:r>
        <w:rPr>
          <w:rFonts w:ascii="Arial" w:hAnsi="Arial"/>
          <w:b/>
          <w:color w:val="9B792B"/>
          <w:sz w:val="24"/>
        </w:rPr>
        <w:t>Typical project triggers</w:t>
      </w:r>
    </w:p>
    <w:p>
      <w:pPr>
        <w:keepNext w:val="0"/>
        <w:spacing w:before="0" w:after="100" w:line="269" w:lineRule="auto"/>
        <w:ind w:left="187" w:hanging="187"/>
      </w:pPr>
      <w:r>
        <w:rPr>
          <w:rFonts w:ascii="Arial" w:hAnsi="Arial"/>
          <w:b w:val="0"/>
          <w:color w:val="181818"/>
          <w:sz w:val="20"/>
        </w:rPr>
        <w:t>•  A new carrier service needs an inside extension</w:t>
      </w:r>
    </w:p>
    <w:p>
      <w:pPr>
        <w:keepNext w:val="0"/>
        <w:spacing w:before="0" w:after="100" w:line="269" w:lineRule="auto"/>
        <w:ind w:left="187" w:hanging="187"/>
      </w:pPr>
      <w:r>
        <w:rPr>
          <w:rFonts w:ascii="Arial" w:hAnsi="Arial"/>
          <w:b w:val="0"/>
          <w:color w:val="181818"/>
          <w:sz w:val="20"/>
        </w:rPr>
        <w:t>•  Multiple carriers share an undocumented entrance room</w:t>
      </w:r>
    </w:p>
    <w:p>
      <w:pPr>
        <w:keepNext w:val="0"/>
        <w:spacing w:before="0" w:after="100" w:line="269" w:lineRule="auto"/>
        <w:ind w:left="187" w:hanging="187"/>
      </w:pPr>
      <w:r>
        <w:rPr>
          <w:rFonts w:ascii="Arial" w:hAnsi="Arial"/>
          <w:b w:val="0"/>
          <w:color w:val="181818"/>
          <w:sz w:val="20"/>
        </w:rPr>
        <w:t>•  Dark-fiber strands or route diversity cannot be confirmed</w:t>
      </w:r>
    </w:p>
    <w:p>
      <w:pPr>
        <w:keepNext w:val="0"/>
        <w:spacing w:before="0" w:after="100" w:line="269" w:lineRule="auto"/>
        <w:ind w:left="187" w:hanging="187"/>
      </w:pPr>
      <w:r>
        <w:rPr>
          <w:rFonts w:ascii="Arial" w:hAnsi="Arial"/>
          <w:b w:val="0"/>
          <w:color w:val="181818"/>
          <w:sz w:val="20"/>
        </w:rPr>
        <w:t>•  Trouble tickets stall at an unclear ownership boundary</w:t>
      </w:r>
    </w:p>
    <w:p>
      <w:r>
        <w:br w:type="page"/>
      </w:r>
    </w:p>
    <w:p>
      <w:pPr>
        <w:keepNext/>
        <w:spacing w:before="1200" w:after="160" w:line="269" w:lineRule="auto"/>
      </w:pPr>
      <w:r>
        <w:rPr>
          <w:rFonts w:ascii="Arial" w:hAnsi="Arial"/>
          <w:b/>
          <w:color w:val="9B792B"/>
          <w:sz w:val="18"/>
        </w:rPr>
        <w:t>GHT-SVC-008 / DARK FIBER AND CARRIER DEMARCATION</w:t>
      </w:r>
    </w:p>
    <w:p>
      <w:pPr>
        <w:keepNext/>
        <w:spacing w:before="0" w:after="180" w:line="269" w:lineRule="auto"/>
      </w:pPr>
      <w:r>
        <w:rPr>
          <w:rFonts w:ascii="Arial" w:hAnsi="Arial"/>
          <w:b/>
          <w:color w:val="181818"/>
          <w:sz w:val="42"/>
        </w:rPr>
        <w:t>Delivery and acceptance</w:t>
      </w:r>
    </w:p>
    <w:p>
      <w:pPr>
        <w:keepNext w:val="0"/>
        <w:spacing w:before="0" w:after="180" w:line="269" w:lineRule="auto"/>
      </w:pPr>
      <w:r>
        <w:rPr>
          <w:rFonts w:ascii="Arial" w:hAnsi="Arial"/>
          <w:b w:val="0"/>
          <w:color w:val="646464"/>
          <w:sz w:val="17"/>
        </w:rPr>
        <w:t>Revision 1.0   •   06 September 2026   •   2 / 3</w:t>
      </w:r>
    </w:p>
    <w:p>
      <w:pPr>
        <w:keepNext w:val="0"/>
        <w:spacing w:before="0" w:after="140" w:line="269" w:lineRule="auto"/>
      </w:pPr>
      <w:r>
        <w:rPr>
          <w:rFonts w:ascii="Arial" w:hAnsi="Arial"/>
          <w:b w:val="0"/>
          <w:color w:val="181818"/>
          <w:sz w:val="20"/>
        </w:rPr>
        <w:t>The final project scope identifies quantities, locations, dependencies, and the evidence required at each delivery stage.</w:t>
      </w:r>
    </w:p>
    <w:p>
      <w:pPr>
        <w:keepNext/>
        <w:spacing w:before="200" w:after="120" w:line="269" w:lineRule="auto"/>
      </w:pPr>
      <w:r>
        <w:rPr>
          <w:rFonts w:ascii="Arial" w:hAnsi="Arial"/>
          <w:b/>
          <w:color w:val="9B792B"/>
          <w:sz w:val="24"/>
        </w:rPr>
        <w:t>01  Read the service handoff</w:t>
      </w:r>
    </w:p>
    <w:p>
      <w:pPr>
        <w:keepNext w:val="0"/>
        <w:spacing w:before="0" w:after="80" w:line="269" w:lineRule="auto"/>
      </w:pPr>
      <w:r>
        <w:rPr>
          <w:rFonts w:ascii="Arial" w:hAnsi="Arial"/>
          <w:b w:val="0"/>
          <w:color w:val="181818"/>
          <w:sz w:val="20"/>
        </w:rPr>
        <w:t>Confirm provider scope, demarc location, interface, strands, dates and customer dependencies.</w:t>
      </w:r>
    </w:p>
    <w:p>
      <w:pPr>
        <w:keepNext w:val="0"/>
        <w:spacing w:before="0" w:after="140" w:line="269" w:lineRule="auto"/>
      </w:pPr>
      <w:r>
        <w:rPr>
          <w:rFonts w:ascii="Arial" w:hAnsi="Arial"/>
          <w:b/>
          <w:color w:val="181818"/>
          <w:sz w:val="18"/>
        </w:rPr>
        <w:t>Acceptance evidence: Responsibility matrix and service-handoff summary</w:t>
      </w:r>
    </w:p>
    <w:p>
      <w:pPr>
        <w:keepNext/>
        <w:spacing w:before="200" w:after="120" w:line="269" w:lineRule="auto"/>
      </w:pPr>
      <w:r>
        <w:rPr>
          <w:rFonts w:ascii="Arial" w:hAnsi="Arial"/>
          <w:b/>
          <w:color w:val="9B792B"/>
          <w:sz w:val="24"/>
        </w:rPr>
        <w:t>02  Survey the entrance path</w:t>
      </w:r>
    </w:p>
    <w:p>
      <w:pPr>
        <w:keepNext w:val="0"/>
        <w:spacing w:before="0" w:after="80" w:line="269" w:lineRule="auto"/>
      </w:pPr>
      <w:r>
        <w:rPr>
          <w:rFonts w:ascii="Arial" w:hAnsi="Arial"/>
          <w:b w:val="0"/>
          <w:color w:val="181818"/>
          <w:sz w:val="20"/>
        </w:rPr>
        <w:t>Verify conduit, building entry, room, rack, power, panels and inside extension route.</w:t>
      </w:r>
    </w:p>
    <w:p>
      <w:pPr>
        <w:keepNext w:val="0"/>
        <w:spacing w:before="0" w:after="140" w:line="269" w:lineRule="auto"/>
      </w:pPr>
      <w:r>
        <w:rPr>
          <w:rFonts w:ascii="Arial" w:hAnsi="Arial"/>
          <w:b/>
          <w:color w:val="181818"/>
          <w:sz w:val="18"/>
        </w:rPr>
        <w:t>Acceptance evidence: Entrance-route photos and readiness checklist</w:t>
      </w:r>
    </w:p>
    <w:p>
      <w:pPr>
        <w:keepNext/>
        <w:spacing w:before="200" w:after="120" w:line="269" w:lineRule="auto"/>
      </w:pPr>
      <w:r>
        <w:rPr>
          <w:rFonts w:ascii="Arial" w:hAnsi="Arial"/>
          <w:b/>
          <w:color w:val="9B792B"/>
          <w:sz w:val="24"/>
        </w:rPr>
        <w:t>03  Build and correlate</w:t>
      </w:r>
    </w:p>
    <w:p>
      <w:pPr>
        <w:keepNext w:val="0"/>
        <w:spacing w:before="0" w:after="80" w:line="269" w:lineRule="auto"/>
      </w:pPr>
      <w:r>
        <w:rPr>
          <w:rFonts w:ascii="Arial" w:hAnsi="Arial"/>
          <w:b w:val="0"/>
          <w:color w:val="181818"/>
          <w:sz w:val="20"/>
        </w:rPr>
        <w:t>Install the customer-side extension or cross-connect and label every transition.</w:t>
      </w:r>
    </w:p>
    <w:p>
      <w:pPr>
        <w:keepNext w:val="0"/>
        <w:spacing w:before="0" w:after="140" w:line="269" w:lineRule="auto"/>
      </w:pPr>
      <w:r>
        <w:rPr>
          <w:rFonts w:ascii="Arial" w:hAnsi="Arial"/>
          <w:b/>
          <w:color w:val="181818"/>
          <w:sz w:val="18"/>
        </w:rPr>
        <w:t>Acceptance evidence: Port/strand map and end-to-end label record</w:t>
      </w:r>
    </w:p>
    <w:p>
      <w:pPr>
        <w:keepNext/>
        <w:spacing w:before="200" w:after="120" w:line="269" w:lineRule="auto"/>
      </w:pPr>
      <w:r>
        <w:rPr>
          <w:rFonts w:ascii="Arial" w:hAnsi="Arial"/>
          <w:b/>
          <w:color w:val="9B792B"/>
          <w:sz w:val="24"/>
        </w:rPr>
        <w:t>04  Test and turn up</w:t>
      </w:r>
    </w:p>
    <w:p>
      <w:pPr>
        <w:keepNext w:val="0"/>
        <w:spacing w:before="0" w:after="80" w:line="269" w:lineRule="auto"/>
      </w:pPr>
      <w:r>
        <w:rPr>
          <w:rFonts w:ascii="Arial" w:hAnsi="Arial"/>
          <w:b w:val="0"/>
          <w:color w:val="181818"/>
          <w:sz w:val="20"/>
        </w:rPr>
        <w:t>Measure the agreed segment, preserve baseline results and record operational contacts.</w:t>
      </w:r>
    </w:p>
    <w:p>
      <w:pPr>
        <w:keepNext w:val="0"/>
        <w:spacing w:before="0" w:after="140" w:line="269" w:lineRule="auto"/>
      </w:pPr>
      <w:r>
        <w:rPr>
          <w:rFonts w:ascii="Arial" w:hAnsi="Arial"/>
          <w:b/>
          <w:color w:val="181818"/>
          <w:sz w:val="18"/>
        </w:rPr>
        <w:t>Acceptance evidence: Test files, turn-up record and escalation/contact sheet</w:t>
      </w:r>
    </w:p>
    <w:p>
      <w:pPr>
        <w:keepNext/>
        <w:spacing w:before="200" w:after="120" w:line="269" w:lineRule="auto"/>
      </w:pPr>
      <w:r>
        <w:rPr>
          <w:rFonts w:ascii="Arial" w:hAnsi="Arial"/>
          <w:b/>
          <w:color w:val="9B792B"/>
          <w:sz w:val="24"/>
        </w:rPr>
        <w:t>Handover deliverables</w:t>
      </w:r>
    </w:p>
    <w:p>
      <w:pPr>
        <w:keepNext w:val="0"/>
        <w:spacing w:before="0" w:after="100" w:line="269" w:lineRule="auto"/>
        <w:ind w:left="187" w:hanging="187"/>
      </w:pPr>
      <w:r>
        <w:rPr>
          <w:rFonts w:ascii="Arial" w:hAnsi="Arial"/>
          <w:b w:val="0"/>
          <w:color w:val="181818"/>
          <w:sz w:val="20"/>
        </w:rPr>
        <w:t>•  Demarc and responsibility diagram</w:t>
      </w:r>
    </w:p>
    <w:p>
      <w:pPr>
        <w:keepNext w:val="0"/>
        <w:spacing w:before="0" w:after="100" w:line="269" w:lineRule="auto"/>
        <w:ind w:left="187" w:hanging="187"/>
      </w:pPr>
      <w:r>
        <w:rPr>
          <w:rFonts w:ascii="Arial" w:hAnsi="Arial"/>
          <w:b w:val="0"/>
          <w:color w:val="181818"/>
          <w:sz w:val="20"/>
        </w:rPr>
        <w:t>•  Entrance/inside-extension readiness checklist</w:t>
      </w:r>
    </w:p>
    <w:p>
      <w:pPr>
        <w:keepNext w:val="0"/>
        <w:spacing w:before="0" w:after="100" w:line="269" w:lineRule="auto"/>
        <w:ind w:left="187" w:hanging="187"/>
      </w:pPr>
      <w:r>
        <w:rPr>
          <w:rFonts w:ascii="Arial" w:hAnsi="Arial"/>
          <w:b w:val="0"/>
          <w:color w:val="181818"/>
          <w:sz w:val="20"/>
        </w:rPr>
        <w:t>•  Port, strand and cross-connect schedule</w:t>
      </w:r>
    </w:p>
    <w:p>
      <w:pPr>
        <w:keepNext w:val="0"/>
        <w:spacing w:before="0" w:after="100" w:line="269" w:lineRule="auto"/>
        <w:ind w:left="187" w:hanging="187"/>
      </w:pPr>
      <w:r>
        <w:rPr>
          <w:rFonts w:ascii="Arial" w:hAnsi="Arial"/>
          <w:b w:val="0"/>
          <w:color w:val="181818"/>
          <w:sz w:val="20"/>
        </w:rPr>
        <w:t>•  Customer-side test baseline</w:t>
      </w:r>
    </w:p>
    <w:p>
      <w:pPr>
        <w:keepNext w:val="0"/>
        <w:spacing w:before="0" w:after="100" w:line="269" w:lineRule="auto"/>
        <w:ind w:left="187" w:hanging="187"/>
      </w:pPr>
      <w:r>
        <w:rPr>
          <w:rFonts w:ascii="Arial" w:hAnsi="Arial"/>
          <w:b w:val="0"/>
          <w:color w:val="181818"/>
          <w:sz w:val="20"/>
        </w:rPr>
        <w:t>•  Turn-up, contact and escalation record</w:t>
      </w:r>
    </w:p>
    <w:p>
      <w:pPr>
        <w:keepNext w:val="0"/>
        <w:spacing w:before="180" w:after="120" w:line="269" w:lineRule="auto"/>
      </w:pPr>
      <w:r>
        <w:rPr>
          <w:rFonts w:ascii="Arial" w:hAnsi="Arial"/>
          <w:b w:val="0"/>
          <w:color w:val="646464"/>
          <w:sz w:val="18"/>
        </w:rPr>
        <w:t>Closeout: GHT and the customer review the agreed evidence, record unresolved exceptions and owners, and confirm acceptance against the signed project scope.</w:t>
      </w:r>
    </w:p>
    <w:p>
      <w:r>
        <w:br w:type="page"/>
      </w:r>
    </w:p>
    <w:p>
      <w:pPr>
        <w:keepNext/>
        <w:spacing w:before="1200" w:after="160" w:line="269" w:lineRule="auto"/>
      </w:pPr>
      <w:r>
        <w:rPr>
          <w:rFonts w:ascii="Arial" w:hAnsi="Arial"/>
          <w:b/>
          <w:color w:val="9B792B"/>
          <w:sz w:val="18"/>
        </w:rPr>
        <w:t>GHT-SVC-008 / DARK FIBER AND CARRIER DEMARCATION</w:t>
      </w:r>
    </w:p>
    <w:p>
      <w:pPr>
        <w:keepNext/>
        <w:spacing w:before="0" w:after="180" w:line="269" w:lineRule="auto"/>
      </w:pPr>
      <w:r>
        <w:rPr>
          <w:rFonts w:ascii="Arial" w:hAnsi="Arial"/>
          <w:b/>
          <w:color w:val="181818"/>
          <w:sz w:val="42"/>
        </w:rPr>
        <w:t>Planning and scope boundaries</w:t>
      </w:r>
    </w:p>
    <w:p>
      <w:pPr>
        <w:keepNext w:val="0"/>
        <w:spacing w:before="0" w:after="140" w:line="269" w:lineRule="auto"/>
      </w:pPr>
      <w:r>
        <w:rPr>
          <w:rFonts w:ascii="Arial" w:hAnsi="Arial"/>
          <w:b w:val="0"/>
          <w:color w:val="646464"/>
          <w:sz w:val="17"/>
        </w:rPr>
        <w:t>Revision 1.0   •   06 September 2026   •   3 / 3</w:t>
      </w:r>
    </w:p>
    <w:p>
      <w:pPr>
        <w:keepNext/>
        <w:spacing w:before="200" w:after="120" w:line="269" w:lineRule="auto"/>
      </w:pPr>
      <w:r>
        <w:rPr>
          <w:rFonts w:ascii="Arial" w:hAnsi="Arial"/>
          <w:b/>
          <w:color w:val="9B792B"/>
          <w:sz w:val="24"/>
        </w:rPr>
        <w:t>Customer and site inputs</w:t>
      </w:r>
    </w:p>
    <w:p>
      <w:pPr>
        <w:keepNext w:val="0"/>
        <w:spacing w:before="0" w:after="100" w:line="269" w:lineRule="auto"/>
        <w:ind w:left="187" w:hanging="187"/>
      </w:pPr>
      <w:r>
        <w:rPr>
          <w:rFonts w:ascii="Arial" w:hAnsi="Arial"/>
          <w:b w:val="0"/>
          <w:color w:val="181818"/>
          <w:sz w:val="20"/>
        </w:rPr>
        <w:t>•  Carrier order, scope and demarc definition</w:t>
      </w:r>
    </w:p>
    <w:p>
      <w:pPr>
        <w:keepNext w:val="0"/>
        <w:spacing w:before="0" w:after="100" w:line="269" w:lineRule="auto"/>
        <w:ind w:left="187" w:hanging="187"/>
      </w:pPr>
      <w:r>
        <w:rPr>
          <w:rFonts w:ascii="Arial" w:hAnsi="Arial"/>
          <w:b w:val="0"/>
          <w:color w:val="181818"/>
          <w:sz w:val="20"/>
        </w:rPr>
        <w:t>•  Interface, connector, optics and strand requirements</w:t>
      </w:r>
    </w:p>
    <w:p>
      <w:pPr>
        <w:keepNext w:val="0"/>
        <w:spacing w:before="0" w:after="100" w:line="269" w:lineRule="auto"/>
        <w:ind w:left="187" w:hanging="187"/>
      </w:pPr>
      <w:r>
        <w:rPr>
          <w:rFonts w:ascii="Arial" w:hAnsi="Arial"/>
          <w:b w:val="0"/>
          <w:color w:val="181818"/>
          <w:sz w:val="20"/>
        </w:rPr>
        <w:t>•  Entrance, riser and inside-extension route</w:t>
      </w:r>
    </w:p>
    <w:p>
      <w:pPr>
        <w:keepNext w:val="0"/>
        <w:spacing w:before="0" w:after="100" w:line="269" w:lineRule="auto"/>
        <w:ind w:left="187" w:hanging="187"/>
      </w:pPr>
      <w:r>
        <w:rPr>
          <w:rFonts w:ascii="Arial" w:hAnsi="Arial"/>
          <w:b w:val="0"/>
          <w:color w:val="181818"/>
          <w:sz w:val="20"/>
        </w:rPr>
        <w:t>•  Rack, power, grounding and access readiness</w:t>
      </w:r>
    </w:p>
    <w:p>
      <w:pPr>
        <w:keepNext w:val="0"/>
        <w:spacing w:before="0" w:after="100" w:line="269" w:lineRule="auto"/>
        <w:ind w:left="187" w:hanging="187"/>
      </w:pPr>
      <w:r>
        <w:rPr>
          <w:rFonts w:ascii="Arial" w:hAnsi="Arial"/>
          <w:b w:val="0"/>
          <w:color w:val="181818"/>
          <w:sz w:val="20"/>
        </w:rPr>
        <w:t>•  Support contacts, repair terms and diversity claims</w:t>
      </w:r>
    </w:p>
    <w:p>
      <w:pPr>
        <w:keepNext/>
        <w:spacing w:before="200" w:after="120" w:line="269" w:lineRule="auto"/>
      </w:pPr>
      <w:r>
        <w:rPr>
          <w:rFonts w:ascii="Arial" w:hAnsi="Arial"/>
          <w:b/>
          <w:color w:val="9B792B"/>
          <w:sz w:val="24"/>
        </w:rPr>
        <w:t>Constraints and coordination</w:t>
      </w:r>
    </w:p>
    <w:p>
      <w:pPr>
        <w:keepNext w:val="0"/>
        <w:spacing w:before="0" w:after="100" w:line="269" w:lineRule="auto"/>
        <w:ind w:left="187" w:hanging="187"/>
      </w:pPr>
      <w:r>
        <w:rPr>
          <w:rFonts w:ascii="Arial" w:hAnsi="Arial"/>
          <w:b w:val="0"/>
          <w:color w:val="181818"/>
          <w:sz w:val="20"/>
        </w:rPr>
        <w:t>•  Carrier schedule and provider-controlled work</w:t>
      </w:r>
    </w:p>
    <w:p>
      <w:pPr>
        <w:keepNext w:val="0"/>
        <w:spacing w:before="0" w:after="100" w:line="269" w:lineRule="auto"/>
        <w:ind w:left="187" w:hanging="187"/>
      </w:pPr>
      <w:r>
        <w:rPr>
          <w:rFonts w:ascii="Arial" w:hAnsi="Arial"/>
          <w:b w:val="0"/>
          <w:color w:val="181818"/>
          <w:sz w:val="20"/>
        </w:rPr>
        <w:t>•  Building entrance rights and landlord coordination</w:t>
      </w:r>
    </w:p>
    <w:p>
      <w:pPr>
        <w:keepNext w:val="0"/>
        <w:spacing w:before="0" w:after="100" w:line="269" w:lineRule="auto"/>
        <w:ind w:left="187" w:hanging="187"/>
      </w:pPr>
      <w:r>
        <w:rPr>
          <w:rFonts w:ascii="Arial" w:hAnsi="Arial"/>
          <w:b w:val="0"/>
          <w:color w:val="181818"/>
          <w:sz w:val="20"/>
        </w:rPr>
        <w:t>•  Interface and optical-budget compatibility</w:t>
      </w:r>
    </w:p>
    <w:p>
      <w:pPr>
        <w:keepNext w:val="0"/>
        <w:spacing w:before="0" w:after="100" w:line="269" w:lineRule="auto"/>
        <w:ind w:left="187" w:hanging="187"/>
      </w:pPr>
      <w:r>
        <w:rPr>
          <w:rFonts w:ascii="Arial" w:hAnsi="Arial"/>
          <w:b w:val="0"/>
          <w:color w:val="181818"/>
          <w:sz w:val="20"/>
        </w:rPr>
        <w:t>•  Unverified physical diversity or shared conduit risk</w:t>
      </w:r>
    </w:p>
    <w:p>
      <w:pPr>
        <w:keepNext/>
        <w:spacing w:before="200" w:after="120" w:line="269" w:lineRule="auto"/>
      </w:pPr>
      <w:r>
        <w:rPr>
          <w:rFonts w:ascii="Arial" w:hAnsi="Arial"/>
          <w:b/>
          <w:color w:val="9B792B"/>
          <w:sz w:val="24"/>
        </w:rPr>
        <w:t>Commercial scope and responsibilities</w:t>
      </w:r>
    </w:p>
    <w:p>
      <w:pPr>
        <w:keepNext w:val="0"/>
        <w:spacing w:before="0" w:after="120" w:line="269" w:lineRule="auto"/>
      </w:pPr>
      <w:r>
        <w:rPr>
          <w:rFonts w:ascii="Arial" w:hAnsi="Arial"/>
          <w:b w:val="0"/>
          <w:color w:val="181818"/>
          <w:sz w:val="18"/>
        </w:rPr>
        <w:t>This specification describes the service framework. The signed statement of work defines included equipment, quantities, software licenses, integrations, access windows, schedule, pricing, warranty, and support coverage. Additional construction, electrical work, recurring subscriptions, and ongoing support require an explicit line item.</w:t>
      </w:r>
    </w:p>
    <w:p>
      <w:pPr>
        <w:keepNext w:val="0"/>
        <w:spacing w:before="0" w:after="120" w:line="269" w:lineRule="auto"/>
      </w:pPr>
      <w:r>
        <w:rPr>
          <w:rFonts w:ascii="Arial" w:hAnsi="Arial"/>
          <w:b w:val="0"/>
          <w:color w:val="181818"/>
          <w:sz w:val="18"/>
        </w:rPr>
        <w:t>The customer appoints an acceptance owner and provides authorized access, required site information, and decisions. GHT records assumptions, coordinates assigned work, and submits changes for agreement before expanding the scope.</w:t>
      </w:r>
    </w:p>
    <w:p>
      <w:pPr>
        <w:keepNext/>
        <w:spacing w:before="200" w:after="120" w:line="269" w:lineRule="auto"/>
      </w:pPr>
      <w:r>
        <w:rPr>
          <w:rFonts w:ascii="Arial" w:hAnsi="Arial"/>
          <w:b/>
          <w:color w:val="9B792B"/>
          <w:sz w:val="24"/>
        </w:rPr>
        <w:t>Technical references</w:t>
      </w:r>
    </w:p>
    <w:p>
      <w:pPr>
        <w:keepNext w:val="0"/>
        <w:spacing w:before="0" w:after="140" w:line="269" w:lineRule="auto"/>
      </w:pPr>
      <w:r>
        <w:rPr>
          <w:rFonts w:ascii="Arial" w:hAnsi="Arial"/>
          <w:b w:val="0"/>
          <w:color w:val="181818"/>
          <w:sz w:val="17"/>
        </w:rPr>
      </w:r>
      <w:hyperlink r:id="rId12">
        <w:r>
          <w:rPr>
            <w:color w:val="9B792B"/>
          </w:rPr>
          <w:t>Fiber Optic Association — Fiber Optic Network Design</w:t>
        </w:r>
      </w:hyperlink>
      <w:r>
        <w:rPr>
          <w:sz w:val="16"/>
        </w:rPr>
        <w:t xml:space="preserve">  |  Source review: 2026-08-20</w:t>
      </w:r>
    </w:p>
    <w:p>
      <w:pPr>
        <w:keepNext w:val="0"/>
        <w:spacing w:before="0" w:after="140" w:line="269" w:lineRule="auto"/>
      </w:pPr>
      <w:r>
        <w:rPr>
          <w:rFonts w:ascii="Arial" w:hAnsi="Arial"/>
          <w:b w:val="0"/>
          <w:color w:val="181818"/>
          <w:sz w:val="17"/>
        </w:rPr>
      </w:r>
      <w:hyperlink r:id="rId13">
        <w:r>
          <w:rPr>
            <w:color w:val="9B792B"/>
          </w:rPr>
          <w:t>Fiber Optic Association — FOA-6a: Fiber Optic Cable Plants</w:t>
        </w:r>
      </w:hyperlink>
      <w:r>
        <w:rPr>
          <w:sz w:val="16"/>
        </w:rPr>
        <w:t xml:space="preserve">  |  Source review: 2026-08-20</w:t>
      </w:r>
    </w:p>
    <w:p>
      <w:pPr>
        <w:keepNext w:val="0"/>
        <w:spacing w:before="0" w:after="140" w:line="269" w:lineRule="auto"/>
      </w:pPr>
      <w:r>
        <w:rPr>
          <w:rFonts w:ascii="Arial" w:hAnsi="Arial"/>
          <w:b w:val="0"/>
          <w:color w:val="181818"/>
          <w:sz w:val="17"/>
        </w:rPr>
      </w:r>
      <w:hyperlink r:id="rId14">
        <w:r>
          <w:rPr>
            <w:color w:val="9B792B"/>
          </w:rPr>
          <w:t>Telecommunications Industry Association — TR-42 Telecommunications Cabling Systems</w:t>
        </w:r>
      </w:hyperlink>
      <w:r>
        <w:rPr>
          <w:sz w:val="16"/>
        </w:rPr>
        <w:t xml:space="preserve">  |  Source review: 2026-08-20</w:t>
      </w:r>
    </w:p>
    <w:p>
      <w:pPr>
        <w:keepNext w:val="0"/>
        <w:spacing w:before="0" w:after="140" w:line="269" w:lineRule="auto"/>
      </w:pPr>
      <w:r>
        <w:rPr>
          <w:rFonts w:ascii="Arial" w:hAnsi="Arial"/>
          <w:b w:val="0"/>
          <w:color w:val="181818"/>
          <w:sz w:val="17"/>
        </w:rPr>
      </w:r>
      <w:hyperlink r:id="rId15">
        <w:r>
          <w:rPr>
            <w:color w:val="9B792B"/>
          </w:rPr>
          <w:t>Service guide and project discussion</w:t>
        </w:r>
      </w:hyperlink>
      <w:r>
        <w:rPr>
          <w:sz w:val="16"/>
        </w:rPr>
        <w:t xml:space="preserve">  |  Source review: 2026-09-06</w:t>
      </w:r>
    </w:p>
    <w:sectPr w:rsidR="00681A4F" w:rsidSect="00034616">
      <w:headerReference w:type="default" r:id="rId8"/>
      <w:footerReference w:type="default" r:id="rId9"/>
      <w:pgSz w:w="12240" w:h="15840"/>
      <w:pgMar w:top="720" w:right="1080" w:bottom="720" w:left="1512" w:header="576" w:footer="504" w:gutter="0"/>
      <w:pgBorders w:offsetFrom="page">
        <w:left w:val="single" w:sz="30" w:space="24" w:color="C9A961"/>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AE819" w14:textId="77777777" w:rsidR="00B235C8" w:rsidRDefault="00B235C8">
      <w:pPr>
        <w:spacing w:after="0" w:line="240" w:lineRule="auto"/>
      </w:pPr>
      <w:r>
        <w:separator/>
      </w:r>
    </w:p>
  </w:endnote>
  <w:endnote w:type="continuationSeparator" w:id="0">
    <w:p w14:paraId="30315FD1" w14:textId="77777777" w:rsidR="00B235C8" w:rsidRDefault="00B235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835CF" w14:textId="77777777" w:rsidR="00681A4F" w:rsidRDefault="00B235C8">
    <w:pPr>
      <w:pStyle w:val="Footer"/>
      <w:tabs>
        <w:tab w:val="right" w:pos="9504"/>
      </w:tabs>
    </w:pPr>
    <w:r>
      <w:rPr>
        <w:color w:val="7D786B"/>
        <w:spacing w:val="32"/>
        <w:sz w:val="12"/>
      </w:rPr>
      <w:t>3077 LEEMAN FERRY RD SW, SUITE A1  ·  HUNTSVILLE, AL 35801</w:t>
    </w:r>
    <w:r>
      <w:rPr>
        <w:color w:val="C9A961"/>
        <w:spacing w:val="32"/>
        <w:sz w:val="12"/>
      </w:rPr>
      <w:tab/>
      <w:t>GHT.NETWORK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39E98" w14:textId="77777777" w:rsidR="00B235C8" w:rsidRDefault="00B235C8">
      <w:pPr>
        <w:spacing w:after="0" w:line="240" w:lineRule="auto"/>
      </w:pPr>
      <w:r>
        <w:separator/>
      </w:r>
    </w:p>
  </w:footnote>
  <w:footnote w:type="continuationSeparator" w:id="0">
    <w:p w14:paraId="6265AA7E" w14:textId="77777777" w:rsidR="00B235C8" w:rsidRDefault="00B235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6121F" w14:textId="77777777" w:rsidR="00681A4F" w:rsidRDefault="00B235C8">
    <w:pPr>
      <w:pStyle w:val="Header"/>
      <w:tabs>
        <w:tab w:val="right" w:pos="9504"/>
      </w:tabs>
      <w:spacing w:after="40"/>
    </w:pPr>
    <w:r>
      <w:rPr>
        <w:noProof/>
      </w:rPr>
      <w:drawing>
        <wp:inline distT="0" distB="0" distL="0" distR="0" wp14:anchorId="540EE956" wp14:editId="5B1A6214">
          <wp:extent cx="644300" cy="3657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k-dark.png"/>
                  <pic:cNvPicPr/>
                </pic:nvPicPr>
                <pic:blipFill>
                  <a:blip r:embed="rId1"/>
                  <a:stretch>
                    <a:fillRect/>
                  </a:stretch>
                </pic:blipFill>
                <pic:spPr>
                  <a:xfrm>
                    <a:off x="0" y="0"/>
                    <a:ext cx="644300" cy="365760"/>
                  </a:xfrm>
                  <a:prstGeom prst="rect">
                    <a:avLst/>
                  </a:prstGeom>
                </pic:spPr>
              </pic:pic>
            </a:graphicData>
          </a:graphic>
        </wp:inline>
      </w:drawing>
    </w:r>
    <w:r>
      <w:rPr>
        <w:b/>
        <w:color w:val="141210"/>
        <w:spacing w:val="60"/>
        <w:sz w:val="20"/>
      </w:rPr>
      <w:t xml:space="preserve">   GLASS HOUSE TECHNOLOGIES</w:t>
    </w:r>
    <w:r>
      <w:rPr>
        <w:b/>
        <w:color w:val="141210"/>
        <w:spacing w:val="28"/>
        <w:sz w:val="12"/>
      </w:rPr>
      <w:tab/>
      <w:t>TECHNOLOGY COMPANY</w:t>
    </w:r>
  </w:p>
  <w:p w14:paraId="6F91F4DE" w14:textId="77777777" w:rsidR="00681A4F" w:rsidRDefault="00B235C8">
    <w:pPr>
      <w:tabs>
        <w:tab w:val="right" w:pos="9504"/>
      </w:tabs>
    </w:pPr>
    <w:r>
      <w:rPr>
        <w:color w:val="C9A961"/>
        <w:spacing w:val="40"/>
        <w:sz w:val="12"/>
      </w:rPr>
      <w:t>INFRASTRUCTURE  ·  SOFTWARE  ·  HARDWARE  ·  ROBOTICS</w:t>
    </w:r>
    <w:r>
      <w:rPr>
        <w:color w:val="7D786B"/>
        <w:spacing w:val="20"/>
        <w:sz w:val="12"/>
      </w:rPr>
      <w:tab/>
      <w:t>GHT.NETWORK  ·  (256) 735-3253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56313682">
    <w:abstractNumId w:val="8"/>
  </w:num>
  <w:num w:numId="2" w16cid:durableId="1702515407">
    <w:abstractNumId w:val="6"/>
  </w:num>
  <w:num w:numId="3" w16cid:durableId="835531263">
    <w:abstractNumId w:val="5"/>
  </w:num>
  <w:num w:numId="4" w16cid:durableId="32392024">
    <w:abstractNumId w:val="4"/>
  </w:num>
  <w:num w:numId="5" w16cid:durableId="1702050768">
    <w:abstractNumId w:val="7"/>
  </w:num>
  <w:num w:numId="6" w16cid:durableId="2060517942">
    <w:abstractNumId w:val="3"/>
  </w:num>
  <w:num w:numId="7" w16cid:durableId="901713311">
    <w:abstractNumId w:val="2"/>
  </w:num>
  <w:num w:numId="8" w16cid:durableId="1176771897">
    <w:abstractNumId w:val="1"/>
  </w:num>
  <w:num w:numId="9" w16cid:durableId="1854831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E15A71"/>
    <w:rsid w:val="00034616"/>
    <w:rsid w:val="0006063C"/>
    <w:rsid w:val="0015074B"/>
    <w:rsid w:val="0029639D"/>
    <w:rsid w:val="00326F90"/>
    <w:rsid w:val="00681A4F"/>
    <w:rsid w:val="00AA1D8D"/>
    <w:rsid w:val="00B235C8"/>
    <w:rsid w:val="00B47730"/>
    <w:rsid w:val="00CB0664"/>
    <w:rsid w:val="00E15A71"/>
    <w:rsid w:val="00F4464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74D4D7"/>
  <w14:defaultImageDpi w14:val="300"/>
  <w15:docId w15:val="{8C696F11-9649-4375-94FD-C974394B4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before="0" w:after="120"/>
    </w:pPr>
    <w:rPr>
      <w:rFonts w:ascii="Arial" w:hAnsi="Arial"/>
      <w:color w:val="2B2A27"/>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yperlink" Target="https://www.foa.org/tech/ref/basic/design.html" TargetMode="External"/><Relationship Id="rId13" Type="http://schemas.openxmlformats.org/officeDocument/2006/relationships/hyperlink" Target="https://www.foa.org/tech/ref/1pstandards/FOA-6.pdf" TargetMode="External"/><Relationship Id="rId14" Type="http://schemas.openxmlformats.org/officeDocument/2006/relationships/hyperlink" Target="https://tiaonline.org/standards/tr-42/" TargetMode="External"/><Relationship Id="rId15" Type="http://schemas.openxmlformats.org/officeDocument/2006/relationships/hyperlink" Target="https://ght.network/services/physical-infrastructure/dark-fiber-carrier-demarc"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nno\OneDrive\Documents\ChatGPT\OnlyTechs\client\public\brand-docs\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letterhead</Template>
  <TotalTime>0</TotalTime>
  <Pages>1</Pages>
  <Words>16</Words>
  <Characters>94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Dark fiber and carrier demarcation — Service specification</dc:title>
  <dc:subject>Dark fiber provides a passive optical path; carrier demarcation pins down the port, strand, inside extension, optics, power, testing, and repair responsibilities on each side.</dc:subject>
  <dc:creator>Glass House Technologies</dc:creator>
  <cp:keywords>Physical infrastructure, service specification</cp:keywords>
  <dc:description>generated by python-docx</dc:description>
  <cp:lastModifiedBy>Connor Glass</cp:lastModifiedBy>
  <cp:revision>1</cp:revision>
  <dcterms:created xsi:type="dcterms:W3CDTF">2026-08-24T05:53:00Z</dcterms:created>
  <dcterms:modified xsi:type="dcterms:W3CDTF">2026-08-24T05:53:00Z</dcterms:modified>
  <cp:category/>
</cp:coreProperties>
</file>