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NETWORKS AND WIRELESS</w:t>
      </w:r>
    </w:p>
    <w:p>
      <w:pPr>
        <w:keepNext/>
        <w:spacing w:before="0" w:after="180" w:line="269" w:lineRule="auto"/>
      </w:pPr>
      <w:r>
        <w:rPr>
          <w:rFonts w:ascii="Arial" w:hAnsi="Arial"/>
          <w:b/>
          <w:color w:val="181818"/>
          <w:sz w:val="48"/>
        </w:rPr>
        <w:t>Distributed antenna systems and ERRCS</w:t>
      </w:r>
    </w:p>
    <w:p>
      <w:pPr>
        <w:keepNext w:val="0"/>
        <w:spacing w:before="0" w:after="240" w:line="269" w:lineRule="auto"/>
      </w:pPr>
      <w:r>
        <w:rPr>
          <w:rFonts w:ascii="Arial" w:hAnsi="Arial"/>
          <w:b w:val="0"/>
          <w:color w:val="646464"/>
          <w:sz w:val="17"/>
        </w:rPr>
        <w:t>GHT-SVC-015   •   Revision 1.0   •   06 September 2026   •   1 / 3</w:t>
      </w:r>
    </w:p>
    <w:p>
      <w:pPr>
        <w:keepNext w:val="0"/>
        <w:spacing w:before="0" w:after="180" w:line="269" w:lineRule="auto"/>
      </w:pPr>
      <w:r>
        <w:rPr>
          <w:rFonts w:ascii="Arial" w:hAnsi="Arial"/>
          <w:b w:val="0"/>
          <w:color w:val="181818"/>
          <w:sz w:val="22"/>
        </w:rPr>
        <w:t>A distributed antenna system carries radio signals through a building or campus.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Coverage maps and commissioning results tied to the correct radio service, frequencies, headend, distribution, alarms, authority, and carrier dependencies.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DAS is a distributed RF infrastructure of signal sources, distribution components and antennas. Passive, active and hybrid architectures have different reach, power, fiber, coaxial cable, space and monitoring needs.</w:t>
      </w:r>
    </w:p>
    <w:p>
      <w:pPr>
        <w:keepNext w:val="0"/>
        <w:spacing w:before="0" w:after="120" w:line="269" w:lineRule="auto"/>
      </w:pPr>
      <w:r>
        <w:rPr>
          <w:rFonts w:ascii="Arial" w:hAnsi="Arial"/>
          <w:b w:val="0"/>
          <w:color w:val="181818"/>
          <w:sz w:val="20"/>
        </w:rPr>
        <w:t>ERRCS requirements are jurisdiction- and project-specific. The fire code official, radio-system owner and other authorities determine applicable criteria and acceptance. A commercial cellular design does not automatically satisfy public-safety requirements.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RF source</w:t>
            </w:r>
          </w:p>
        </w:tc>
        <w:tc>
          <w:tcPr>
            <w:tcW w:type="dxa" w:w="7200"/>
            <w:shd w:fill="F4F1E9"/>
          </w:tcPr>
          <w:p>
            <w:pPr>
              <w:spacing w:before="100" w:after="100"/>
            </w:pPr>
            <w:r>
              <w:rPr>
                <w:rFonts w:ascii="Arial" w:hAnsi="Arial"/>
                <w:sz w:val="18"/>
              </w:rPr>
              <w:t>Carrier signal, donor source, base station or public-safety radio system</w:t>
            </w:r>
          </w:p>
        </w:tc>
      </w:tr>
      <w:tr>
        <w:tc>
          <w:tcPr>
            <w:tcW w:type="dxa" w:w="2160"/>
            <w:shd w:fill="FFFFFF"/>
          </w:tcPr>
          <w:p>
            <w:pPr>
              <w:spacing w:before="100" w:after="100"/>
            </w:pPr>
            <w:r>
              <w:rPr>
                <w:rFonts w:ascii="Arial" w:hAnsi="Arial"/>
                <w:b/>
                <w:sz w:val="18"/>
              </w:rPr>
              <w:t>02  Headend</w:t>
            </w:r>
          </w:p>
        </w:tc>
        <w:tc>
          <w:tcPr>
            <w:tcW w:type="dxa" w:w="7200"/>
            <w:shd w:fill="FFFFFF"/>
          </w:tcPr>
          <w:p>
            <w:pPr>
              <w:spacing w:before="100" w:after="100"/>
            </w:pPr>
            <w:r>
              <w:rPr>
                <w:rFonts w:ascii="Arial" w:hAnsi="Arial"/>
                <w:sz w:val="18"/>
              </w:rPr>
              <w:t>Filtering, amplification, control and monitoring equipment</w:t>
            </w:r>
          </w:p>
        </w:tc>
      </w:tr>
      <w:tr>
        <w:tc>
          <w:tcPr>
            <w:tcW w:type="dxa" w:w="2160"/>
            <w:shd w:fill="F4F1E9"/>
          </w:tcPr>
          <w:p>
            <w:pPr>
              <w:spacing w:before="100" w:after="100"/>
            </w:pPr>
            <w:r>
              <w:rPr>
                <w:rFonts w:ascii="Arial" w:hAnsi="Arial"/>
                <w:b/>
                <w:sz w:val="18"/>
              </w:rPr>
              <w:t>03  Distribution</w:t>
            </w:r>
          </w:p>
        </w:tc>
        <w:tc>
          <w:tcPr>
            <w:tcW w:type="dxa" w:w="7200"/>
            <w:shd w:fill="F4F1E9"/>
          </w:tcPr>
          <w:p>
            <w:pPr>
              <w:spacing w:before="100" w:after="100"/>
            </w:pPr>
            <w:r>
              <w:rPr>
                <w:rFonts w:ascii="Arial" w:hAnsi="Arial"/>
                <w:sz w:val="18"/>
              </w:rPr>
              <w:t>Fiber, coaxial cable, remote units and splitters/taps</w:t>
            </w:r>
          </w:p>
        </w:tc>
      </w:tr>
      <w:tr>
        <w:tc>
          <w:tcPr>
            <w:tcW w:type="dxa" w:w="2160"/>
            <w:shd w:fill="FFFFFF"/>
          </w:tcPr>
          <w:p>
            <w:pPr>
              <w:spacing w:before="100" w:after="100"/>
            </w:pPr>
            <w:r>
              <w:rPr>
                <w:rFonts w:ascii="Arial" w:hAnsi="Arial"/>
                <w:b/>
                <w:sz w:val="18"/>
              </w:rPr>
              <w:t>04  Antenna layer</w:t>
            </w:r>
          </w:p>
        </w:tc>
        <w:tc>
          <w:tcPr>
            <w:tcW w:type="dxa" w:w="7200"/>
            <w:shd w:fill="FFFFFF"/>
          </w:tcPr>
          <w:p>
            <w:pPr>
              <w:spacing w:before="100" w:after="100"/>
            </w:pPr>
            <w:r>
              <w:rPr>
                <w:rFonts w:ascii="Arial" w:hAnsi="Arial"/>
                <w:sz w:val="18"/>
              </w:rPr>
              <w:t>Planned in-building or campus coverage zones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Interior cellular service is unreliable or capacity-limited</w:t>
      </w:r>
    </w:p>
    <w:p>
      <w:pPr>
        <w:keepNext w:val="0"/>
        <w:spacing w:before="0" w:after="100" w:line="269" w:lineRule="auto"/>
        <w:ind w:left="187" w:hanging="187"/>
      </w:pPr>
      <w:r>
        <w:rPr>
          <w:rFonts w:ascii="Arial" w:hAnsi="Arial"/>
          <w:b w:val="0"/>
          <w:color w:val="181818"/>
          <w:sz w:val="20"/>
        </w:rPr>
        <w:t>•  A project review identifies public-safety radio coverage requirements</w:t>
      </w:r>
    </w:p>
    <w:p>
      <w:pPr>
        <w:keepNext w:val="0"/>
        <w:spacing w:before="0" w:after="100" w:line="269" w:lineRule="auto"/>
        <w:ind w:left="187" w:hanging="187"/>
      </w:pPr>
      <w:r>
        <w:rPr>
          <w:rFonts w:ascii="Arial" w:hAnsi="Arial"/>
          <w:b w:val="0"/>
          <w:color w:val="181818"/>
          <w:sz w:val="20"/>
        </w:rPr>
        <w:t>•  Large, below-grade, shielded or high-occupancy spaces are planned</w:t>
      </w:r>
    </w:p>
    <w:p>
      <w:pPr>
        <w:keepNext w:val="0"/>
        <w:spacing w:before="0" w:after="100" w:line="269" w:lineRule="auto"/>
        <w:ind w:left="187" w:hanging="187"/>
      </w:pPr>
      <w:r>
        <w:rPr>
          <w:rFonts w:ascii="Arial" w:hAnsi="Arial"/>
          <w:b w:val="0"/>
          <w:color w:val="181818"/>
          <w:sz w:val="20"/>
        </w:rPr>
        <w:t>•  An existing booster/DAS lacks current test and monitoring records</w:t>
      </w:r>
    </w:p>
    <w:p>
      <w:r>
        <w:br w:type="page"/>
      </w:r>
    </w:p>
    <w:p>
      <w:pPr>
        <w:keepNext/>
        <w:spacing w:before="1200" w:after="160" w:line="269" w:lineRule="auto"/>
      </w:pPr>
      <w:r>
        <w:rPr>
          <w:rFonts w:ascii="Arial" w:hAnsi="Arial"/>
          <w:b/>
          <w:color w:val="9B792B"/>
          <w:sz w:val="18"/>
        </w:rPr>
        <w:t>GHT-SVC-015 / DISTRIBUTED ANTENNA SYSTEMS AND ERRCS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Authority and use case</w:t>
      </w:r>
    </w:p>
    <w:p>
      <w:pPr>
        <w:keepNext w:val="0"/>
        <w:spacing w:before="0" w:after="80" w:line="269" w:lineRule="auto"/>
      </w:pPr>
      <w:r>
        <w:rPr>
          <w:rFonts w:ascii="Arial" w:hAnsi="Arial"/>
          <w:b w:val="0"/>
          <w:color w:val="181818"/>
          <w:sz w:val="20"/>
        </w:rPr>
        <w:t>Identify radio systems, service goals, jurisdiction, stakeholders and acceptance authority.</w:t>
      </w:r>
    </w:p>
    <w:p>
      <w:pPr>
        <w:keepNext w:val="0"/>
        <w:spacing w:before="0" w:after="140" w:line="269" w:lineRule="auto"/>
      </w:pPr>
      <w:r>
        <w:rPr>
          <w:rFonts w:ascii="Arial" w:hAnsi="Arial"/>
          <w:b/>
          <w:color w:val="181818"/>
          <w:sz w:val="18"/>
        </w:rPr>
        <w:t>Acceptance evidence: Requirements/authority matrix and meeting record</w:t>
      </w:r>
    </w:p>
    <w:p>
      <w:pPr>
        <w:keepNext/>
        <w:spacing w:before="200" w:after="120" w:line="269" w:lineRule="auto"/>
      </w:pPr>
      <w:r>
        <w:rPr>
          <w:rFonts w:ascii="Arial" w:hAnsi="Arial"/>
          <w:b/>
          <w:color w:val="9B792B"/>
          <w:sz w:val="24"/>
        </w:rPr>
        <w:t>02  RF and infrastructure design</w:t>
      </w:r>
    </w:p>
    <w:p>
      <w:pPr>
        <w:keepNext w:val="0"/>
        <w:spacing w:before="0" w:after="80" w:line="269" w:lineRule="auto"/>
      </w:pPr>
      <w:r>
        <w:rPr>
          <w:rFonts w:ascii="Arial" w:hAnsi="Arial"/>
          <w:b w:val="0"/>
          <w:color w:val="181818"/>
          <w:sz w:val="20"/>
        </w:rPr>
        <w:t>Survey/model coverage; define source, frequencies, antennas, distribution, pathways, power and monitoring.</w:t>
      </w:r>
    </w:p>
    <w:p>
      <w:pPr>
        <w:keepNext w:val="0"/>
        <w:spacing w:before="0" w:after="140" w:line="269" w:lineRule="auto"/>
      </w:pPr>
      <w:r>
        <w:rPr>
          <w:rFonts w:ascii="Arial" w:hAnsi="Arial"/>
          <w:b/>
          <w:color w:val="181818"/>
          <w:sz w:val="18"/>
        </w:rPr>
        <w:t>Acceptance evidence: RF basis, floor design and coordinated infrastructure schedule</w:t>
      </w:r>
    </w:p>
    <w:p>
      <w:pPr>
        <w:keepNext/>
        <w:spacing w:before="200" w:after="120" w:line="269" w:lineRule="auto"/>
      </w:pPr>
      <w:r>
        <w:rPr>
          <w:rFonts w:ascii="Arial" w:hAnsi="Arial"/>
          <w:b/>
          <w:color w:val="9B792B"/>
          <w:sz w:val="24"/>
        </w:rPr>
        <w:t>03  Provider/AHJ coordination</w:t>
      </w:r>
    </w:p>
    <w:p>
      <w:pPr>
        <w:keepNext w:val="0"/>
        <w:spacing w:before="0" w:after="80" w:line="269" w:lineRule="auto"/>
      </w:pPr>
      <w:r>
        <w:rPr>
          <w:rFonts w:ascii="Arial" w:hAnsi="Arial"/>
          <w:b w:val="0"/>
          <w:color w:val="181818"/>
          <w:sz w:val="20"/>
        </w:rPr>
        <w:t>Obtain required carrier, frequency-owner, permit and authority reviews before activation.</w:t>
      </w:r>
    </w:p>
    <w:p>
      <w:pPr>
        <w:keepNext w:val="0"/>
        <w:spacing w:before="0" w:after="140" w:line="269" w:lineRule="auto"/>
      </w:pPr>
      <w:r>
        <w:rPr>
          <w:rFonts w:ascii="Arial" w:hAnsi="Arial"/>
          <w:b/>
          <w:color w:val="181818"/>
          <w:sz w:val="18"/>
        </w:rPr>
        <w:t>Acceptance evidence: Review comments, approvals and responsibility log</w:t>
      </w:r>
    </w:p>
    <w:p>
      <w:pPr>
        <w:keepNext/>
        <w:spacing w:before="200" w:after="120" w:line="269" w:lineRule="auto"/>
      </w:pPr>
      <w:r>
        <w:rPr>
          <w:rFonts w:ascii="Arial" w:hAnsi="Arial"/>
          <w:b/>
          <w:color w:val="9B792B"/>
          <w:sz w:val="24"/>
        </w:rPr>
        <w:t>04  Commission and document</w:t>
      </w:r>
    </w:p>
    <w:p>
      <w:pPr>
        <w:keepNext w:val="0"/>
        <w:spacing w:before="0" w:after="80" w:line="269" w:lineRule="auto"/>
      </w:pPr>
      <w:r>
        <w:rPr>
          <w:rFonts w:ascii="Arial" w:hAnsi="Arial"/>
          <w:b w:val="0"/>
          <w:color w:val="181818"/>
          <w:sz w:val="20"/>
        </w:rPr>
        <w:t>Test the agreed grid/areas, alarms and operating conditions with required witnesses.</w:t>
      </w:r>
    </w:p>
    <w:p>
      <w:pPr>
        <w:keepNext w:val="0"/>
        <w:spacing w:before="0" w:after="140" w:line="269" w:lineRule="auto"/>
      </w:pPr>
      <w:r>
        <w:rPr>
          <w:rFonts w:ascii="Arial" w:hAnsi="Arial"/>
          <w:b/>
          <w:color w:val="181818"/>
          <w:sz w:val="18"/>
        </w:rPr>
        <w:t>Acceptance evidence: Commissioning report, test maps, alarm results and as-builts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RF survey/design basis and coverage maps</w:t>
      </w:r>
    </w:p>
    <w:p>
      <w:pPr>
        <w:keepNext w:val="0"/>
        <w:spacing w:before="0" w:after="100" w:line="269" w:lineRule="auto"/>
        <w:ind w:left="187" w:hanging="187"/>
      </w:pPr>
      <w:r>
        <w:rPr>
          <w:rFonts w:ascii="Arial" w:hAnsi="Arial"/>
          <w:b w:val="0"/>
          <w:color w:val="181818"/>
          <w:sz w:val="20"/>
        </w:rPr>
        <w:t>•  Headend, pathway, antenna and riser plans</w:t>
      </w:r>
    </w:p>
    <w:p>
      <w:pPr>
        <w:keepNext w:val="0"/>
        <w:spacing w:before="0" w:after="100" w:line="269" w:lineRule="auto"/>
        <w:ind w:left="187" w:hanging="187"/>
      </w:pPr>
      <w:r>
        <w:rPr>
          <w:rFonts w:ascii="Arial" w:hAnsi="Arial"/>
          <w:b w:val="0"/>
          <w:color w:val="181818"/>
          <w:sz w:val="20"/>
        </w:rPr>
        <w:t>•  Stakeholder/authority responsibility matrix</w:t>
      </w:r>
    </w:p>
    <w:p>
      <w:pPr>
        <w:keepNext w:val="0"/>
        <w:spacing w:before="0" w:after="100" w:line="269" w:lineRule="auto"/>
        <w:ind w:left="187" w:hanging="187"/>
      </w:pPr>
      <w:r>
        <w:rPr>
          <w:rFonts w:ascii="Arial" w:hAnsi="Arial"/>
          <w:b w:val="0"/>
          <w:color w:val="181818"/>
          <w:sz w:val="20"/>
        </w:rPr>
        <w:t>•  Commissioning and alarm-test records</w:t>
      </w:r>
    </w:p>
    <w:p>
      <w:pPr>
        <w:keepNext w:val="0"/>
        <w:spacing w:before="0" w:after="100" w:line="269" w:lineRule="auto"/>
        <w:ind w:left="187" w:hanging="187"/>
      </w:pPr>
      <w:r>
        <w:rPr>
          <w:rFonts w:ascii="Arial" w:hAnsi="Arial"/>
          <w:b w:val="0"/>
          <w:color w:val="181818"/>
          <w:sz w:val="20"/>
        </w:rPr>
        <w:t>•  As-built RF infrastructure and equipment schedule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GHT-SVC-015 / DISTRIBUTED ANTENNA SYSTEMS AND ERRCS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Building plans, materials and below-grade areas</w:t>
      </w:r>
    </w:p>
    <w:p>
      <w:pPr>
        <w:keepNext w:val="0"/>
        <w:spacing w:before="0" w:after="100" w:line="269" w:lineRule="auto"/>
        <w:ind w:left="187" w:hanging="187"/>
      </w:pPr>
      <w:r>
        <w:rPr>
          <w:rFonts w:ascii="Arial" w:hAnsi="Arial"/>
          <w:b w:val="0"/>
          <w:color w:val="181818"/>
          <w:sz w:val="20"/>
        </w:rPr>
        <w:t>•  Required radio services, bands and performance criteria</w:t>
      </w:r>
    </w:p>
    <w:p>
      <w:pPr>
        <w:keepNext w:val="0"/>
        <w:spacing w:before="0" w:after="100" w:line="269" w:lineRule="auto"/>
        <w:ind w:left="187" w:hanging="187"/>
      </w:pPr>
      <w:r>
        <w:rPr>
          <w:rFonts w:ascii="Arial" w:hAnsi="Arial"/>
          <w:b w:val="0"/>
          <w:color w:val="181818"/>
          <w:sz w:val="20"/>
        </w:rPr>
        <w:t>•  Carrier, radio-owner and AHJ contacts</w:t>
      </w:r>
    </w:p>
    <w:p>
      <w:pPr>
        <w:keepNext w:val="0"/>
        <w:spacing w:before="0" w:after="100" w:line="269" w:lineRule="auto"/>
        <w:ind w:left="187" w:hanging="187"/>
      </w:pPr>
      <w:r>
        <w:rPr>
          <w:rFonts w:ascii="Arial" w:hAnsi="Arial"/>
          <w:b w:val="0"/>
          <w:color w:val="181818"/>
          <w:sz w:val="20"/>
        </w:rPr>
        <w:t>•  Headend, riser, pathway, power and monitoring locations</w:t>
      </w:r>
    </w:p>
    <w:p>
      <w:pPr>
        <w:keepNext w:val="0"/>
        <w:spacing w:before="0" w:after="100" w:line="269" w:lineRule="auto"/>
        <w:ind w:left="187" w:hanging="187"/>
      </w:pPr>
      <w:r>
        <w:rPr>
          <w:rFonts w:ascii="Arial" w:hAnsi="Arial"/>
          <w:b w:val="0"/>
          <w:color w:val="181818"/>
          <w:sz w:val="20"/>
        </w:rPr>
        <w:t>•  Test grid, witness, permit and closeout requirements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Carrier and radio-system-owner authorization</w:t>
      </w:r>
    </w:p>
    <w:p>
      <w:pPr>
        <w:keepNext w:val="0"/>
        <w:spacing w:before="0" w:after="100" w:line="269" w:lineRule="auto"/>
        <w:ind w:left="187" w:hanging="187"/>
      </w:pPr>
      <w:r>
        <w:rPr>
          <w:rFonts w:ascii="Arial" w:hAnsi="Arial"/>
          <w:b w:val="0"/>
          <w:color w:val="181818"/>
          <w:sz w:val="20"/>
        </w:rPr>
        <w:t>•  Jurisdiction-specific code and AHJ interpretation</w:t>
      </w:r>
    </w:p>
    <w:p>
      <w:pPr>
        <w:keepNext w:val="0"/>
        <w:spacing w:before="0" w:after="100" w:line="269" w:lineRule="auto"/>
        <w:ind w:left="187" w:hanging="187"/>
      </w:pPr>
      <w:r>
        <w:rPr>
          <w:rFonts w:ascii="Arial" w:hAnsi="Arial"/>
          <w:b w:val="0"/>
          <w:color w:val="181818"/>
          <w:sz w:val="20"/>
        </w:rPr>
        <w:t>•  RF interference, isolation and donor-signal conditions</w:t>
      </w:r>
    </w:p>
    <w:p>
      <w:pPr>
        <w:keepNext w:val="0"/>
        <w:spacing w:before="0" w:after="100" w:line="269" w:lineRule="auto"/>
        <w:ind w:left="187" w:hanging="187"/>
      </w:pPr>
      <w:r>
        <w:rPr>
          <w:rFonts w:ascii="Arial" w:hAnsi="Arial"/>
          <w:b w:val="0"/>
          <w:color w:val="181818"/>
          <w:sz w:val="20"/>
        </w:rPr>
        <w:t>•  Pathway, fire-resistance, power and monitoring dependencies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BICSI — ANSI/BICSI 006-2026: Distributed Antenna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Federal Communications Commission — FCC 13-21: Signal Booster Rules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shop.bicsi.org/ansi-bicsi-006-2026-standards-for-distributed-antenna-system-print-version" TargetMode="External"/><Relationship Id="rId13" Type="http://schemas.openxmlformats.org/officeDocument/2006/relationships/hyperlink" Target="https://docs.fcc.gov/public/attachments/FCC-13-21A1.pdf" TargetMode="External"/><Relationship Id="rId14" Type="http://schemas.openxmlformats.org/officeDocument/2006/relationships/hyperlink" Target="https://shop.bicsi.org/technical-manuals/bicsi-library" TargetMode="External"/><Relationship Id="rId15" Type="http://schemas.openxmlformats.org/officeDocument/2006/relationships/hyperlink" Target="https://ght.network/services/networks-wireless/das-err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Distributed antenna systems and ERRCS — Service specification</dc:title>
  <dc:subject>A distributed antenna system carries radio signals through a building or campus.</dc:subject>
  <dc:creator>Glass House Technologies</dc:creator>
  <cp:keywords>Networks and wireless,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