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DATA CENTER</w:t>
      </w:r>
    </w:p>
    <w:p>
      <w:pPr>
        <w:keepNext/>
        <w:spacing w:before="0" w:after="180" w:line="269" w:lineRule="auto"/>
      </w:pPr>
      <w:r>
        <w:rPr>
          <w:rFonts w:ascii="Arial" w:hAnsi="Arial"/>
          <w:b/>
          <w:color w:val="181818"/>
          <w:sz w:val="48"/>
        </w:rPr>
        <w:t>DCIM enablement</w:t>
      </w:r>
    </w:p>
    <w:p>
      <w:pPr>
        <w:keepNext w:val="0"/>
        <w:spacing w:before="0" w:after="240" w:line="269" w:lineRule="auto"/>
      </w:pPr>
      <w:r>
        <w:rPr>
          <w:rFonts w:ascii="Arial" w:hAnsi="Arial"/>
          <w:b w:val="0"/>
          <w:color w:val="646464"/>
          <w:sz w:val="17"/>
        </w:rPr>
        <w:t>GHT-SVC-012   •   Revision 1.0   •   06 September 2026   •   1 / 3</w:t>
      </w:r>
    </w:p>
    <w:p>
      <w:pPr>
        <w:keepNext w:val="0"/>
        <w:spacing w:before="0" w:after="180" w:line="269" w:lineRule="auto"/>
      </w:pPr>
      <w:r>
        <w:rPr>
          <w:rFonts w:ascii="Arial" w:hAnsi="Arial"/>
          <w:b w:val="0"/>
          <w:color w:val="181818"/>
          <w:sz w:val="22"/>
        </w:rPr>
        <w:t>Sites, rooms, racks, assets, ports, circuits, and sensors get normalized, supported data sources connect, and physical changes gain a defined path into the model.</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Rack, asset, power, connectivity, and sensor records checked against the data-center floor, with import exceptions and update procedures assigned.</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DCIM platform is only useful when rack, asset, port, circuit, and sensor identifiers match the floor and every physical change updates the record.</w:t>
      </w:r>
    </w:p>
    <w:p>
      <w:pPr>
        <w:keepNext w:val="0"/>
        <w:spacing w:before="0" w:after="120" w:line="269" w:lineRule="auto"/>
      </w:pPr>
      <w:r>
        <w:rPr>
          <w:rFonts w:ascii="Arial" w:hAnsi="Arial"/>
          <w:b w:val="0"/>
          <w:color w:val="181818"/>
          <w:sz w:val="20"/>
        </w:rPr>
        <w:t>A staged rollout usually starts with one use case, such as rack inventory, power capacity, or environmental alarms, then expands after data quality and support ownership are proven.</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Sources</w:t>
            </w:r>
          </w:p>
        </w:tc>
        <w:tc>
          <w:tcPr>
            <w:tcW w:type="dxa" w:w="7200"/>
            <w:shd w:fill="F4F1E9"/>
          </w:tcPr>
          <w:p>
            <w:pPr>
              <w:spacing w:before="100" w:after="100"/>
            </w:pPr>
            <w:r>
              <w:rPr>
                <w:rFonts w:ascii="Arial" w:hAnsi="Arial"/>
                <w:sz w:val="18"/>
              </w:rPr>
              <w:t>Assets, ports, power, sensors, network and facility systems</w:t>
            </w:r>
          </w:p>
        </w:tc>
      </w:tr>
      <w:tr>
        <w:tc>
          <w:tcPr>
            <w:tcW w:type="dxa" w:w="2160"/>
            <w:shd w:fill="FFFFFF"/>
          </w:tcPr>
          <w:p>
            <w:pPr>
              <w:spacing w:before="100" w:after="100"/>
            </w:pPr>
            <w:r>
              <w:rPr>
                <w:rFonts w:ascii="Arial" w:hAnsi="Arial"/>
                <w:b/>
                <w:sz w:val="18"/>
              </w:rPr>
              <w:t>02  Normalization</w:t>
            </w:r>
          </w:p>
        </w:tc>
        <w:tc>
          <w:tcPr>
            <w:tcW w:type="dxa" w:w="7200"/>
            <w:shd w:fill="FFFFFF"/>
          </w:tcPr>
          <w:p>
            <w:pPr>
              <w:spacing w:before="100" w:after="100"/>
            </w:pPr>
            <w:r>
              <w:rPr>
                <w:rFonts w:ascii="Arial" w:hAnsi="Arial"/>
                <w:sz w:val="18"/>
              </w:rPr>
              <w:t>Identifiers, relationships, units and data-quality rules</w:t>
            </w:r>
          </w:p>
        </w:tc>
      </w:tr>
      <w:tr>
        <w:tc>
          <w:tcPr>
            <w:tcW w:type="dxa" w:w="2160"/>
            <w:shd w:fill="F4F1E9"/>
          </w:tcPr>
          <w:p>
            <w:pPr>
              <w:spacing w:before="100" w:after="100"/>
            </w:pPr>
            <w:r>
              <w:rPr>
                <w:rFonts w:ascii="Arial" w:hAnsi="Arial"/>
                <w:b/>
                <w:sz w:val="18"/>
              </w:rPr>
              <w:t>03  DCIM model</w:t>
            </w:r>
          </w:p>
        </w:tc>
        <w:tc>
          <w:tcPr>
            <w:tcW w:type="dxa" w:w="7200"/>
            <w:shd w:fill="F4F1E9"/>
          </w:tcPr>
          <w:p>
            <w:pPr>
              <w:spacing w:before="100" w:after="100"/>
            </w:pPr>
            <w:r>
              <w:rPr>
                <w:rFonts w:ascii="Arial" w:hAnsi="Arial"/>
                <w:sz w:val="18"/>
              </w:rPr>
              <w:t>Physical hierarchy, capacity, connectivity and telemetry</w:t>
            </w:r>
          </w:p>
        </w:tc>
      </w:tr>
      <w:tr>
        <w:tc>
          <w:tcPr>
            <w:tcW w:type="dxa" w:w="2160"/>
            <w:shd w:fill="FFFFFF"/>
          </w:tcPr>
          <w:p>
            <w:pPr>
              <w:spacing w:before="100" w:after="100"/>
            </w:pPr>
            <w:r>
              <w:rPr>
                <w:rFonts w:ascii="Arial" w:hAnsi="Arial"/>
                <w:b/>
                <w:sz w:val="18"/>
              </w:rPr>
              <w:t>04  Operations</w:t>
            </w:r>
          </w:p>
        </w:tc>
        <w:tc>
          <w:tcPr>
            <w:tcW w:type="dxa" w:w="7200"/>
            <w:shd w:fill="FFFFFF"/>
          </w:tcPr>
          <w:p>
            <w:pPr>
              <w:spacing w:before="100" w:after="100"/>
            </w:pPr>
            <w:r>
              <w:rPr>
                <w:rFonts w:ascii="Arial" w:hAnsi="Arial"/>
                <w:sz w:val="18"/>
              </w:rPr>
              <w:t>Alarms, reports, planning, work orders and change reconciliation</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Rack, asset and port records disagree across systems</w:t>
      </w:r>
    </w:p>
    <w:p>
      <w:pPr>
        <w:keepNext w:val="0"/>
        <w:spacing w:before="0" w:after="100" w:line="269" w:lineRule="auto"/>
        <w:ind w:left="187" w:hanging="187"/>
      </w:pPr>
      <w:r>
        <w:rPr>
          <w:rFonts w:ascii="Arial" w:hAnsi="Arial"/>
          <w:b w:val="0"/>
          <w:color w:val="181818"/>
          <w:sz w:val="20"/>
        </w:rPr>
        <w:t>•  Power or space capacity is estimated manually</w:t>
      </w:r>
    </w:p>
    <w:p>
      <w:pPr>
        <w:keepNext w:val="0"/>
        <w:spacing w:before="0" w:after="100" w:line="269" w:lineRule="auto"/>
        <w:ind w:left="187" w:hanging="187"/>
      </w:pPr>
      <w:r>
        <w:rPr>
          <w:rFonts w:ascii="Arial" w:hAnsi="Arial"/>
          <w:b w:val="0"/>
          <w:color w:val="181818"/>
          <w:sz w:val="20"/>
        </w:rPr>
        <w:t>•  Environmental alarms lack location or escalation context</w:t>
      </w:r>
    </w:p>
    <w:p>
      <w:pPr>
        <w:keepNext w:val="0"/>
        <w:spacing w:before="0" w:after="100" w:line="269" w:lineRule="auto"/>
        <w:ind w:left="187" w:hanging="187"/>
      </w:pPr>
      <w:r>
        <w:rPr>
          <w:rFonts w:ascii="Arial" w:hAnsi="Arial"/>
          <w:b w:val="0"/>
          <w:color w:val="181818"/>
          <w:sz w:val="20"/>
        </w:rPr>
        <w:t>•  A DCIM platform exists but operational adoption is low</w:t>
      </w:r>
    </w:p>
    <w:p>
      <w:r>
        <w:br w:type="page"/>
      </w:r>
    </w:p>
    <w:p>
      <w:pPr>
        <w:keepNext/>
        <w:spacing w:before="1200" w:after="160" w:line="269" w:lineRule="auto"/>
      </w:pPr>
      <w:r>
        <w:rPr>
          <w:rFonts w:ascii="Arial" w:hAnsi="Arial"/>
          <w:b/>
          <w:color w:val="9B792B"/>
          <w:sz w:val="18"/>
        </w:rPr>
        <w:t>GHT-SVC-012 / DCIM ENABLEMENT</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Use case and source</w:t>
      </w:r>
    </w:p>
    <w:p>
      <w:pPr>
        <w:keepNext w:val="0"/>
        <w:spacing w:before="0" w:after="80" w:line="269" w:lineRule="auto"/>
      </w:pPr>
      <w:r>
        <w:rPr>
          <w:rFonts w:ascii="Arial" w:hAnsi="Arial"/>
          <w:b w:val="0"/>
          <w:color w:val="181818"/>
          <w:sz w:val="20"/>
        </w:rPr>
        <w:t>Choose the decisions to support and identify system owners and sources of record.</w:t>
      </w:r>
    </w:p>
    <w:p>
      <w:pPr>
        <w:keepNext w:val="0"/>
        <w:spacing w:before="0" w:after="140" w:line="269" w:lineRule="auto"/>
      </w:pPr>
      <w:r>
        <w:rPr>
          <w:rFonts w:ascii="Arial" w:hAnsi="Arial"/>
          <w:b/>
          <w:color w:val="181818"/>
          <w:sz w:val="18"/>
        </w:rPr>
        <w:t>Acceptance evidence: Use-case charter, field dictionary and ownership matrix</w:t>
      </w:r>
    </w:p>
    <w:p>
      <w:pPr>
        <w:keepNext/>
        <w:spacing w:before="200" w:after="120" w:line="269" w:lineRule="auto"/>
      </w:pPr>
      <w:r>
        <w:rPr>
          <w:rFonts w:ascii="Arial" w:hAnsi="Arial"/>
          <w:b/>
          <w:color w:val="9B792B"/>
          <w:sz w:val="24"/>
        </w:rPr>
        <w:t>02  Model and normalize</w:t>
      </w:r>
    </w:p>
    <w:p>
      <w:pPr>
        <w:keepNext w:val="0"/>
        <w:spacing w:before="0" w:after="80" w:line="269" w:lineRule="auto"/>
      </w:pPr>
      <w:r>
        <w:rPr>
          <w:rFonts w:ascii="Arial" w:hAnsi="Arial"/>
          <w:b w:val="0"/>
          <w:color w:val="181818"/>
          <w:sz w:val="20"/>
        </w:rPr>
        <w:t>Define site, room, row, rack, asset, port, circuit, sensor and relationship identifiers.</w:t>
      </w:r>
    </w:p>
    <w:p>
      <w:pPr>
        <w:keepNext w:val="0"/>
        <w:spacing w:before="0" w:after="140" w:line="269" w:lineRule="auto"/>
      </w:pPr>
      <w:r>
        <w:rPr>
          <w:rFonts w:ascii="Arial" w:hAnsi="Arial"/>
          <w:b/>
          <w:color w:val="181818"/>
          <w:sz w:val="18"/>
        </w:rPr>
        <w:t>Acceptance evidence: Data model, naming rules and import/reconciliation report</w:t>
      </w:r>
    </w:p>
    <w:p>
      <w:pPr>
        <w:keepNext/>
        <w:spacing w:before="200" w:after="120" w:line="269" w:lineRule="auto"/>
      </w:pPr>
      <w:r>
        <w:rPr>
          <w:rFonts w:ascii="Arial" w:hAnsi="Arial"/>
          <w:b/>
          <w:color w:val="9B792B"/>
          <w:sz w:val="24"/>
        </w:rPr>
        <w:t>03  Integrate and validate</w:t>
      </w:r>
    </w:p>
    <w:p>
      <w:pPr>
        <w:keepNext w:val="0"/>
        <w:spacing w:before="0" w:after="80" w:line="269" w:lineRule="auto"/>
      </w:pPr>
      <w:r>
        <w:rPr>
          <w:rFonts w:ascii="Arial" w:hAnsi="Arial"/>
          <w:b w:val="0"/>
          <w:color w:val="181818"/>
          <w:sz w:val="20"/>
        </w:rPr>
        <w:t>Connect supported APIs, telemetry and imports; compare samples against physical state.</w:t>
      </w:r>
    </w:p>
    <w:p>
      <w:pPr>
        <w:keepNext w:val="0"/>
        <w:spacing w:before="0" w:after="140" w:line="269" w:lineRule="auto"/>
      </w:pPr>
      <w:r>
        <w:rPr>
          <w:rFonts w:ascii="Arial" w:hAnsi="Arial"/>
          <w:b/>
          <w:color w:val="181818"/>
          <w:sz w:val="18"/>
        </w:rPr>
        <w:t>Acceptance evidence: Integration map, validation sample and error/exception log</w:t>
      </w:r>
    </w:p>
    <w:p>
      <w:pPr>
        <w:keepNext/>
        <w:spacing w:before="200" w:after="120" w:line="269" w:lineRule="auto"/>
      </w:pPr>
      <w:r>
        <w:rPr>
          <w:rFonts w:ascii="Arial" w:hAnsi="Arial"/>
          <w:b/>
          <w:color w:val="9B792B"/>
          <w:sz w:val="24"/>
        </w:rPr>
        <w:t>04  Operationalize</w:t>
      </w:r>
    </w:p>
    <w:p>
      <w:pPr>
        <w:keepNext w:val="0"/>
        <w:spacing w:before="0" w:after="80" w:line="269" w:lineRule="auto"/>
      </w:pPr>
      <w:r>
        <w:rPr>
          <w:rFonts w:ascii="Arial" w:hAnsi="Arial"/>
          <w:b w:val="0"/>
          <w:color w:val="181818"/>
          <w:sz w:val="20"/>
        </w:rPr>
        <w:t>Build roles, alarms, reports and change procedures around maintained data.</w:t>
      </w:r>
    </w:p>
    <w:p>
      <w:pPr>
        <w:keepNext w:val="0"/>
        <w:spacing w:before="0" w:after="140" w:line="269" w:lineRule="auto"/>
      </w:pPr>
      <w:r>
        <w:rPr>
          <w:rFonts w:ascii="Arial" w:hAnsi="Arial"/>
          <w:b/>
          <w:color w:val="181818"/>
          <w:sz w:val="18"/>
        </w:rPr>
        <w:t>Acceptance evidence: Runbook, role matrix, dashboard acceptance and update audit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DCIM data and integration architecture</w:t>
      </w:r>
    </w:p>
    <w:p>
      <w:pPr>
        <w:keepNext w:val="0"/>
        <w:spacing w:before="0" w:after="100" w:line="269" w:lineRule="auto"/>
        <w:ind w:left="187" w:hanging="187"/>
      </w:pPr>
      <w:r>
        <w:rPr>
          <w:rFonts w:ascii="Arial" w:hAnsi="Arial"/>
          <w:b w:val="0"/>
          <w:color w:val="181818"/>
          <w:sz w:val="20"/>
        </w:rPr>
        <w:t>•  Naming/identifier and field dictionary</w:t>
      </w:r>
    </w:p>
    <w:p>
      <w:pPr>
        <w:keepNext w:val="0"/>
        <w:spacing w:before="0" w:after="100" w:line="269" w:lineRule="auto"/>
        <w:ind w:left="187" w:hanging="187"/>
      </w:pPr>
      <w:r>
        <w:rPr>
          <w:rFonts w:ascii="Arial" w:hAnsi="Arial"/>
          <w:b w:val="0"/>
          <w:color w:val="181818"/>
          <w:sz w:val="20"/>
        </w:rPr>
        <w:t>•  Normalized import with exception report</w:t>
      </w:r>
    </w:p>
    <w:p>
      <w:pPr>
        <w:keepNext w:val="0"/>
        <w:spacing w:before="0" w:after="100" w:line="269" w:lineRule="auto"/>
        <w:ind w:left="187" w:hanging="187"/>
      </w:pPr>
      <w:r>
        <w:rPr>
          <w:rFonts w:ascii="Arial" w:hAnsi="Arial"/>
          <w:b w:val="0"/>
          <w:color w:val="181818"/>
          <w:sz w:val="20"/>
        </w:rPr>
        <w:t>•  Validation and reconciliation results</w:t>
      </w:r>
    </w:p>
    <w:p>
      <w:pPr>
        <w:keepNext w:val="0"/>
        <w:spacing w:before="0" w:after="100" w:line="269" w:lineRule="auto"/>
        <w:ind w:left="187" w:hanging="187"/>
      </w:pPr>
      <w:r>
        <w:rPr>
          <w:rFonts w:ascii="Arial" w:hAnsi="Arial"/>
          <w:b w:val="0"/>
          <w:color w:val="181818"/>
          <w:sz w:val="20"/>
        </w:rPr>
        <w:t>•  Operations runbook, dashboards and ownership matrix</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GHT-SVC-012 / DCIM ENABLEMENT</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Priority operational use cases and success measures</w:t>
      </w:r>
    </w:p>
    <w:p>
      <w:pPr>
        <w:keepNext w:val="0"/>
        <w:spacing w:before="0" w:after="100" w:line="269" w:lineRule="auto"/>
        <w:ind w:left="187" w:hanging="187"/>
      </w:pPr>
      <w:r>
        <w:rPr>
          <w:rFonts w:ascii="Arial" w:hAnsi="Arial"/>
          <w:b w:val="0"/>
          <w:color w:val="181818"/>
          <w:sz w:val="20"/>
        </w:rPr>
        <w:t>•  Current systems, exports, APIs and data owners</w:t>
      </w:r>
    </w:p>
    <w:p>
      <w:pPr>
        <w:keepNext w:val="0"/>
        <w:spacing w:before="0" w:after="100" w:line="269" w:lineRule="auto"/>
        <w:ind w:left="187" w:hanging="187"/>
      </w:pPr>
      <w:r>
        <w:rPr>
          <w:rFonts w:ascii="Arial" w:hAnsi="Arial"/>
          <w:b w:val="0"/>
          <w:color w:val="181818"/>
          <w:sz w:val="20"/>
        </w:rPr>
        <w:t>•  Physical hierarchy and identifier conventions</w:t>
      </w:r>
    </w:p>
    <w:p>
      <w:pPr>
        <w:keepNext w:val="0"/>
        <w:spacing w:before="0" w:after="100" w:line="269" w:lineRule="auto"/>
        <w:ind w:left="187" w:hanging="187"/>
      </w:pPr>
      <w:r>
        <w:rPr>
          <w:rFonts w:ascii="Arial" w:hAnsi="Arial"/>
          <w:b w:val="0"/>
          <w:color w:val="181818"/>
          <w:sz w:val="20"/>
        </w:rPr>
        <w:t>•  Telemetry protocols, units, intervals and retention</w:t>
      </w:r>
    </w:p>
    <w:p>
      <w:pPr>
        <w:keepNext w:val="0"/>
        <w:spacing w:before="0" w:after="100" w:line="269" w:lineRule="auto"/>
        <w:ind w:left="187" w:hanging="187"/>
      </w:pPr>
      <w:r>
        <w:rPr>
          <w:rFonts w:ascii="Arial" w:hAnsi="Arial"/>
          <w:b w:val="0"/>
          <w:color w:val="181818"/>
          <w:sz w:val="20"/>
        </w:rPr>
        <w:t>•  Roles, change process, alarm routing and security boundary</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Incomplete or conflicting source records</w:t>
      </w:r>
    </w:p>
    <w:p>
      <w:pPr>
        <w:keepNext w:val="0"/>
        <w:spacing w:before="0" w:after="100" w:line="269" w:lineRule="auto"/>
        <w:ind w:left="187" w:hanging="187"/>
      </w:pPr>
      <w:r>
        <w:rPr>
          <w:rFonts w:ascii="Arial" w:hAnsi="Arial"/>
          <w:b w:val="0"/>
          <w:color w:val="181818"/>
          <w:sz w:val="20"/>
        </w:rPr>
        <w:t>•  Vendor/API coverage and licensing</w:t>
      </w:r>
    </w:p>
    <w:p>
      <w:pPr>
        <w:keepNext w:val="0"/>
        <w:spacing w:before="0" w:after="100" w:line="269" w:lineRule="auto"/>
        <w:ind w:left="187" w:hanging="187"/>
      </w:pPr>
      <w:r>
        <w:rPr>
          <w:rFonts w:ascii="Arial" w:hAnsi="Arial"/>
          <w:b w:val="0"/>
          <w:color w:val="181818"/>
          <w:sz w:val="20"/>
        </w:rPr>
        <w:t>•  Credentials, network segmentation and least-privilege access</w:t>
      </w:r>
    </w:p>
    <w:p>
      <w:pPr>
        <w:keepNext w:val="0"/>
        <w:spacing w:before="0" w:after="100" w:line="269" w:lineRule="auto"/>
        <w:ind w:left="187" w:hanging="187"/>
      </w:pPr>
      <w:r>
        <w:rPr>
          <w:rFonts w:ascii="Arial" w:hAnsi="Arial"/>
          <w:b w:val="0"/>
          <w:color w:val="181818"/>
          <w:sz w:val="20"/>
        </w:rPr>
        <w:t>•  Ongoing ownership after adds, moves and removals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Distributed Management Task Force — Redfish Standard</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Telecommunications Industry Association — TIA-942: Telecommunications Infrastructure Standard for Data Centers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ASHRAE — Data Center Resources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dmtf.org/standards/redfish" TargetMode="External"/><Relationship Id="rId13" Type="http://schemas.openxmlformats.org/officeDocument/2006/relationships/hyperlink" Target="https://tiaonline.org/standard/tia-942/" TargetMode="External"/><Relationship Id="rId14" Type="http://schemas.openxmlformats.org/officeDocument/2006/relationships/hyperlink" Target="https://shop.bicsi.org/technical-manuals/bicsi-library" TargetMode="External"/><Relationship Id="rId15" Type="http://schemas.openxmlformats.org/officeDocument/2006/relationships/hyperlink" Target="https://www.ashrae.org/technical-resources/bookstore/datacom-series" TargetMode="External"/><Relationship Id="rId16" Type="http://schemas.openxmlformats.org/officeDocument/2006/relationships/hyperlink" Target="https://ght.network/services/data-center/dcim-enabl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DCIM enablement — Service specification</dc:title>
  <dc:subject>Sites, rooms, racks, assets, ports, circuits, and sensors get normalized, supported data sources connect, and physical changes gain a defined path into the model.</dc:subject>
  <dc:creator>Glass House Technologies</dc:creator>
  <cp:keywords>Data center,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