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Digital signage</w:t>
      </w:r>
    </w:p>
    <w:p>
      <w:pPr>
        <w:keepNext w:val="0"/>
        <w:spacing w:before="0" w:after="240" w:line="269" w:lineRule="auto"/>
      </w:pPr>
      <w:r>
        <w:rPr>
          <w:rFonts w:ascii="Arial" w:hAnsi="Arial"/>
          <w:b w:val="0"/>
          <w:color w:val="646464"/>
          <w:sz w:val="17"/>
        </w:rPr>
        <w:t>GHT-SVC-025   •   Revision 1.0   •   06 September 2026   •   1 / 3</w:t>
      </w:r>
    </w:p>
    <w:p>
      <w:pPr>
        <w:keepNext w:val="0"/>
        <w:spacing w:before="0" w:after="180" w:line="269" w:lineRule="auto"/>
      </w:pPr>
      <w:r>
        <w:rPr>
          <w:rFonts w:ascii="Arial" w:hAnsi="Arial"/>
          <w:b w:val="0"/>
          <w:color w:val="181818"/>
          <w:sz w:val="22"/>
        </w:rPr>
        <w:t>Commercial displays, mounts, players, content management, templates, schedules, data feeds, permissions, power, network, accessibility, monitoring, and fallback content, treated as one system.</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Enrolled and labeled screens with approved templates, publishing permissions, tested schedules, offline behavior, restart recovery, and operator instructions.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signage endpoint includes the display, mount, player or system-on-chip, content platform, network, power, input path, scheduling, identity, and physical service access. Menu boards, dashboards, room signs, wayfinding, video walls, and promotional displays have different viewing and operating requirements.</w:t>
      </w:r>
    </w:p>
    <w:p>
      <w:pPr>
        <w:keepNext w:val="0"/>
        <w:spacing w:before="0" w:after="120" w:line="269" w:lineRule="auto"/>
      </w:pPr>
      <w:r>
        <w:rPr>
          <w:rFonts w:ascii="Arial" w:hAnsi="Arial"/>
          <w:b w:val="0"/>
          <w:color w:val="181818"/>
          <w:sz w:val="20"/>
        </w:rPr>
        <w:t>The content plan should name who can create and approve content, which templates they can change, when content expires, how accessibility is reviewed, and what appears during a feed or player failure.</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Content</w:t>
            </w:r>
          </w:p>
        </w:tc>
        <w:tc>
          <w:tcPr>
            <w:tcW w:type="dxa" w:w="7200"/>
            <w:shd w:fill="F4F1E9"/>
          </w:tcPr>
          <w:p>
            <w:pPr>
              <w:spacing w:before="100" w:after="100"/>
            </w:pPr>
            <w:r>
              <w:rPr>
                <w:rFonts w:ascii="Arial" w:hAnsi="Arial"/>
                <w:sz w:val="18"/>
              </w:rPr>
              <w:t>Templates, media, live data, approval, schedule, expiration, accessibility</w:t>
            </w:r>
          </w:p>
        </w:tc>
      </w:tr>
      <w:tr>
        <w:tc>
          <w:tcPr>
            <w:tcW w:type="dxa" w:w="2160"/>
            <w:shd w:fill="FFFFFF"/>
          </w:tcPr>
          <w:p>
            <w:pPr>
              <w:spacing w:before="100" w:after="100"/>
            </w:pPr>
            <w:r>
              <w:rPr>
                <w:rFonts w:ascii="Arial" w:hAnsi="Arial"/>
                <w:b/>
                <w:sz w:val="18"/>
              </w:rPr>
              <w:t>02  Control</w:t>
            </w:r>
          </w:p>
        </w:tc>
        <w:tc>
          <w:tcPr>
            <w:tcW w:type="dxa" w:w="7200"/>
            <w:shd w:fill="FFFFFF"/>
          </w:tcPr>
          <w:p>
            <w:pPr>
              <w:spacing w:before="100" w:after="100"/>
            </w:pPr>
            <w:r>
              <w:rPr>
                <w:rFonts w:ascii="Arial" w:hAnsi="Arial"/>
                <w:sz w:val="18"/>
              </w:rPr>
              <w:t>CMS, roles, device groups, audit, health, remote action</w:t>
            </w:r>
          </w:p>
        </w:tc>
      </w:tr>
      <w:tr>
        <w:tc>
          <w:tcPr>
            <w:tcW w:type="dxa" w:w="2160"/>
            <w:shd w:fill="F4F1E9"/>
          </w:tcPr>
          <w:p>
            <w:pPr>
              <w:spacing w:before="100" w:after="100"/>
            </w:pPr>
            <w:r>
              <w:rPr>
                <w:rFonts w:ascii="Arial" w:hAnsi="Arial"/>
                <w:b/>
                <w:sz w:val="18"/>
              </w:rPr>
              <w:t>03  Endpoint</w:t>
            </w:r>
          </w:p>
        </w:tc>
        <w:tc>
          <w:tcPr>
            <w:tcW w:type="dxa" w:w="7200"/>
            <w:shd w:fill="F4F1E9"/>
          </w:tcPr>
          <w:p>
            <w:pPr>
              <w:spacing w:before="100" w:after="100"/>
            </w:pPr>
            <w:r>
              <w:rPr>
                <w:rFonts w:ascii="Arial" w:hAnsi="Arial"/>
                <w:sz w:val="18"/>
              </w:rPr>
              <w:t>Player, display, inputs, orientation, mount, local cache</w:t>
            </w:r>
          </w:p>
        </w:tc>
      </w:tr>
      <w:tr>
        <w:tc>
          <w:tcPr>
            <w:tcW w:type="dxa" w:w="2160"/>
            <w:shd w:fill="FFFFFF"/>
          </w:tcPr>
          <w:p>
            <w:pPr>
              <w:spacing w:before="100" w:after="100"/>
            </w:pPr>
            <w:r>
              <w:rPr>
                <w:rFonts w:ascii="Arial" w:hAnsi="Arial"/>
                <w:b/>
                <w:sz w:val="18"/>
              </w:rPr>
              <w:t>04  Facility</w:t>
            </w:r>
          </w:p>
        </w:tc>
        <w:tc>
          <w:tcPr>
            <w:tcW w:type="dxa" w:w="7200"/>
            <w:shd w:fill="FFFFFF"/>
          </w:tcPr>
          <w:p>
            <w:pPr>
              <w:spacing w:before="100" w:after="100"/>
            </w:pPr>
            <w:r>
              <w:rPr>
                <w:rFonts w:ascii="Arial" w:hAnsi="Arial"/>
                <w:sz w:val="18"/>
              </w:rPr>
              <w:t>Power, data, structure, heat, service access, viewing conditions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USB updates, personal logins, or undocumented players control business-critical screens</w:t>
      </w:r>
    </w:p>
    <w:p>
      <w:pPr>
        <w:keepNext w:val="0"/>
        <w:spacing w:before="0" w:after="100" w:line="269" w:lineRule="auto"/>
        <w:ind w:left="187" w:hanging="187"/>
      </w:pPr>
      <w:r>
        <w:rPr>
          <w:rFonts w:ascii="Arial" w:hAnsi="Arial"/>
          <w:b w:val="0"/>
          <w:color w:val="181818"/>
          <w:sz w:val="20"/>
        </w:rPr>
        <w:t>•  Stale, blank, or inconsistent content appears across locations</w:t>
      </w:r>
    </w:p>
    <w:p>
      <w:pPr>
        <w:keepNext w:val="0"/>
        <w:spacing w:before="0" w:after="100" w:line="269" w:lineRule="auto"/>
        <w:ind w:left="187" w:hanging="187"/>
      </w:pPr>
      <w:r>
        <w:rPr>
          <w:rFonts w:ascii="Arial" w:hAnsi="Arial"/>
          <w:b w:val="0"/>
          <w:color w:val="181818"/>
          <w:sz w:val="20"/>
        </w:rPr>
        <w:t>•  No owner is accountable for templates, schedules, data feeds, or approvals</w:t>
      </w:r>
    </w:p>
    <w:p>
      <w:pPr>
        <w:keepNext w:val="0"/>
        <w:spacing w:before="0" w:after="100" w:line="269" w:lineRule="auto"/>
        <w:ind w:left="187" w:hanging="187"/>
      </w:pPr>
      <w:r>
        <w:rPr>
          <w:rFonts w:ascii="Arial" w:hAnsi="Arial"/>
          <w:b w:val="0"/>
          <w:color w:val="181818"/>
          <w:sz w:val="20"/>
        </w:rPr>
        <w:t>•  A rollout needs remote health, standard naming, and repeatable mounting and network rules</w:t>
      </w:r>
    </w:p>
    <w:p>
      <w:r>
        <w:br w:type="page"/>
      </w:r>
    </w:p>
    <w:p>
      <w:pPr>
        <w:keepNext/>
        <w:spacing w:before="1200" w:after="160" w:line="269" w:lineRule="auto"/>
      </w:pPr>
      <w:r>
        <w:rPr>
          <w:rFonts w:ascii="Arial" w:hAnsi="Arial"/>
          <w:b/>
          <w:color w:val="9B792B"/>
          <w:sz w:val="18"/>
        </w:rPr>
        <w:t>GHT-SVC-025 / DIGITAL SIGNAGE</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Map content and viewers</w:t>
      </w:r>
    </w:p>
    <w:p>
      <w:pPr>
        <w:keepNext w:val="0"/>
        <w:spacing w:before="0" w:after="80" w:line="269" w:lineRule="auto"/>
      </w:pPr>
      <w:r>
        <w:rPr>
          <w:rFonts w:ascii="Arial" w:hAnsi="Arial"/>
          <w:b w:val="0"/>
          <w:color w:val="181818"/>
          <w:sz w:val="20"/>
        </w:rPr>
        <w:t>Define audience, viewing distance, dwell time, message type, authors, approvers, schedule, source data, accessibility, and fallback for every screen group.</w:t>
      </w:r>
    </w:p>
    <w:p>
      <w:pPr>
        <w:keepNext w:val="0"/>
        <w:spacing w:before="0" w:after="140" w:line="269" w:lineRule="auto"/>
      </w:pPr>
      <w:r>
        <w:rPr>
          <w:rFonts w:ascii="Arial" w:hAnsi="Arial"/>
          <w:b/>
          <w:color w:val="181818"/>
          <w:sz w:val="18"/>
        </w:rPr>
        <w:t>Acceptance evidence: Screen-purpose matrix, content-owner map, sample assets, data-source inventory, and fallback decisions.</w:t>
      </w:r>
    </w:p>
    <w:p>
      <w:pPr>
        <w:keepNext/>
        <w:spacing w:before="200" w:after="120" w:line="269" w:lineRule="auto"/>
      </w:pPr>
      <w:r>
        <w:rPr>
          <w:rFonts w:ascii="Arial" w:hAnsi="Arial"/>
          <w:b/>
          <w:color w:val="9B792B"/>
          <w:sz w:val="24"/>
        </w:rPr>
        <w:t>02  Engineer each endpoint</w:t>
      </w:r>
    </w:p>
    <w:p>
      <w:pPr>
        <w:keepNext w:val="0"/>
        <w:spacing w:before="0" w:after="80" w:line="269" w:lineRule="auto"/>
      </w:pPr>
      <w:r>
        <w:rPr>
          <w:rFonts w:ascii="Arial" w:hAnsi="Arial"/>
          <w:b w:val="0"/>
          <w:color w:val="181818"/>
          <w:sz w:val="20"/>
        </w:rPr>
        <w:t>Select display class, brightness, orientation, mount, player, inputs, power, network, service access, platform, permissions, and content resolution.</w:t>
      </w:r>
    </w:p>
    <w:p>
      <w:pPr>
        <w:keepNext w:val="0"/>
        <w:spacing w:before="0" w:after="140" w:line="269" w:lineRule="auto"/>
      </w:pPr>
      <w:r>
        <w:rPr>
          <w:rFonts w:ascii="Arial" w:hAnsi="Arial"/>
          <w:b/>
          <w:color w:val="181818"/>
          <w:sz w:val="18"/>
        </w:rPr>
        <w:t>Acceptance evidence: Screen schedule, elevations, mount and pathway plan, network and power requirements, and platform role matrix.</w:t>
      </w:r>
    </w:p>
    <w:p>
      <w:pPr>
        <w:keepNext/>
        <w:spacing w:before="200" w:after="120" w:line="269" w:lineRule="auto"/>
      </w:pPr>
      <w:r>
        <w:rPr>
          <w:rFonts w:ascii="Arial" w:hAnsi="Arial"/>
          <w:b/>
          <w:color w:val="9B792B"/>
          <w:sz w:val="24"/>
        </w:rPr>
        <w:t>03  Install and stage content</w:t>
      </w:r>
    </w:p>
    <w:p>
      <w:pPr>
        <w:keepNext w:val="0"/>
        <w:spacing w:before="0" w:after="80" w:line="269" w:lineRule="auto"/>
      </w:pPr>
      <w:r>
        <w:rPr>
          <w:rFonts w:ascii="Arial" w:hAnsi="Arial"/>
          <w:b w:val="0"/>
          <w:color w:val="181818"/>
          <w:sz w:val="20"/>
        </w:rPr>
        <w:t>Mount, label, connect, enroll, secure, name, update, load templates, assign schedules, and establish monitoring without shared personal accounts.</w:t>
      </w:r>
    </w:p>
    <w:p>
      <w:pPr>
        <w:keepNext w:val="0"/>
        <w:spacing w:before="0" w:after="140" w:line="269" w:lineRule="auto"/>
      </w:pPr>
      <w:r>
        <w:rPr>
          <w:rFonts w:ascii="Arial" w:hAnsi="Arial"/>
          <w:b/>
          <w:color w:val="181818"/>
          <w:sz w:val="18"/>
        </w:rPr>
        <w:t>Acceptance evidence: Asset and credential-owner record, labeled endpoints, enrollment screenshots, template set, and installation photos.</w:t>
      </w:r>
    </w:p>
    <w:p>
      <w:pPr>
        <w:keepNext/>
        <w:spacing w:before="200" w:after="120" w:line="269" w:lineRule="auto"/>
      </w:pPr>
      <w:r>
        <w:rPr>
          <w:rFonts w:ascii="Arial" w:hAnsi="Arial"/>
          <w:b/>
          <w:color w:val="9B792B"/>
          <w:sz w:val="24"/>
        </w:rPr>
        <w:t>04  Prove publishing and recovery</w:t>
      </w:r>
    </w:p>
    <w:p>
      <w:pPr>
        <w:keepNext w:val="0"/>
        <w:spacing w:before="0" w:after="80" w:line="269" w:lineRule="auto"/>
      </w:pPr>
      <w:r>
        <w:rPr>
          <w:rFonts w:ascii="Arial" w:hAnsi="Arial"/>
          <w:b w:val="0"/>
          <w:color w:val="181818"/>
          <w:sz w:val="20"/>
        </w:rPr>
        <w:t>Test authoring, approval, scheduled change, expiration, data loss, player restart, network loss, fallback, accessibility review, and operator recovery.</w:t>
      </w:r>
    </w:p>
    <w:p>
      <w:pPr>
        <w:keepNext w:val="0"/>
        <w:spacing w:before="0" w:after="140" w:line="269" w:lineRule="auto"/>
      </w:pPr>
      <w:r>
        <w:rPr>
          <w:rFonts w:ascii="Arial" w:hAnsi="Arial"/>
          <w:b/>
          <w:color w:val="181818"/>
          <w:sz w:val="18"/>
        </w:rPr>
        <w:t>Acceptance evidence: Published test campaign, schedule evidence, offline and restart results, screen photos, runbook, and accepted exceptions.</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Screen-purpose, content-owner, and publishing matrix</w:t>
      </w:r>
    </w:p>
    <w:p>
      <w:pPr>
        <w:keepNext w:val="0"/>
        <w:spacing w:before="0" w:after="100" w:line="269" w:lineRule="auto"/>
        <w:ind w:left="187" w:hanging="187"/>
      </w:pPr>
      <w:r>
        <w:rPr>
          <w:rFonts w:ascii="Arial" w:hAnsi="Arial"/>
          <w:b w:val="0"/>
          <w:color w:val="181818"/>
          <w:sz w:val="20"/>
        </w:rPr>
        <w:t>•  Endpoint schedule, elevations, power/data/mount plan</w:t>
      </w:r>
    </w:p>
    <w:p>
      <w:pPr>
        <w:keepNext w:val="0"/>
        <w:spacing w:before="0" w:after="100" w:line="269" w:lineRule="auto"/>
        <w:ind w:left="187" w:hanging="187"/>
      </w:pPr>
      <w:r>
        <w:rPr>
          <w:rFonts w:ascii="Arial" w:hAnsi="Arial"/>
          <w:b w:val="0"/>
          <w:color w:val="181818"/>
          <w:sz w:val="20"/>
        </w:rPr>
        <w:t>•  Platform roles, device groups, naming, and template set</w:t>
      </w:r>
    </w:p>
    <w:p>
      <w:pPr>
        <w:keepNext w:val="0"/>
        <w:spacing w:before="0" w:after="100" w:line="269" w:lineRule="auto"/>
        <w:ind w:left="187" w:hanging="187"/>
      </w:pPr>
      <w:r>
        <w:rPr>
          <w:rFonts w:ascii="Arial" w:hAnsi="Arial"/>
          <w:b w:val="0"/>
          <w:color w:val="181818"/>
          <w:sz w:val="20"/>
        </w:rPr>
        <w:t>•  Publishing, schedule, offline, restart, and fallback acceptance evidence</w:t>
      </w:r>
    </w:p>
    <w:p>
      <w:pPr>
        <w:keepNext w:val="0"/>
        <w:spacing w:before="0" w:after="100" w:line="269" w:lineRule="auto"/>
        <w:ind w:left="187" w:hanging="187"/>
      </w:pPr>
      <w:r>
        <w:rPr>
          <w:rFonts w:ascii="Arial" w:hAnsi="Arial"/>
          <w:b w:val="0"/>
          <w:color w:val="181818"/>
          <w:sz w:val="20"/>
        </w:rPr>
        <w:t>•  Asset list, operator guide, content standards, and support runbook</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GHT-SVC-025 / DIGITAL SIGNAGE</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Audience, purpose, viewing distance, dwell time, and ambient light</w:t>
      </w:r>
    </w:p>
    <w:p>
      <w:pPr>
        <w:keepNext w:val="0"/>
        <w:spacing w:before="0" w:after="100" w:line="269" w:lineRule="auto"/>
        <w:ind w:left="187" w:hanging="187"/>
      </w:pPr>
      <w:r>
        <w:rPr>
          <w:rFonts w:ascii="Arial" w:hAnsi="Arial"/>
          <w:b w:val="0"/>
          <w:color w:val="181818"/>
          <w:sz w:val="20"/>
        </w:rPr>
        <w:t>•  Content types, formats, templates, data feeds, schedules, and expiration</w:t>
      </w:r>
    </w:p>
    <w:p>
      <w:pPr>
        <w:keepNext w:val="0"/>
        <w:spacing w:before="0" w:after="100" w:line="269" w:lineRule="auto"/>
        <w:ind w:left="187" w:hanging="187"/>
      </w:pPr>
      <w:r>
        <w:rPr>
          <w:rFonts w:ascii="Arial" w:hAnsi="Arial"/>
          <w:b w:val="0"/>
          <w:color w:val="181818"/>
          <w:sz w:val="20"/>
        </w:rPr>
        <w:t>•  Author, approver, administrator, local editor, and support roles</w:t>
      </w:r>
    </w:p>
    <w:p>
      <w:pPr>
        <w:keepNext w:val="0"/>
        <w:spacing w:before="0" w:after="100" w:line="269" w:lineRule="auto"/>
        <w:ind w:left="187" w:hanging="187"/>
      </w:pPr>
      <w:r>
        <w:rPr>
          <w:rFonts w:ascii="Arial" w:hAnsi="Arial"/>
          <w:b w:val="0"/>
          <w:color w:val="181818"/>
          <w:sz w:val="20"/>
        </w:rPr>
        <w:t>•  Display class, orientation, mount, structure, power, network, heat, and access</w:t>
      </w:r>
    </w:p>
    <w:p>
      <w:pPr>
        <w:keepNext w:val="0"/>
        <w:spacing w:before="0" w:after="100" w:line="269" w:lineRule="auto"/>
        <w:ind w:left="187" w:hanging="187"/>
      </w:pPr>
      <w:r>
        <w:rPr>
          <w:rFonts w:ascii="Arial" w:hAnsi="Arial"/>
          <w:b w:val="0"/>
          <w:color w:val="181818"/>
          <w:sz w:val="20"/>
        </w:rPr>
        <w:t>•  Accessibility, emergency-use boundary, security, offline behavior, and lifecycle expectations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Consumer displays may not be suitable for required duty cycle, brightness, orientation, environmental conditions, or service model</w:t>
      </w:r>
    </w:p>
    <w:p>
      <w:pPr>
        <w:keepNext w:val="0"/>
        <w:spacing w:before="0" w:after="100" w:line="269" w:lineRule="auto"/>
        <w:ind w:left="187" w:hanging="187"/>
      </w:pPr>
      <w:r>
        <w:rPr>
          <w:rFonts w:ascii="Arial" w:hAnsi="Arial"/>
          <w:b w:val="0"/>
          <w:color w:val="181818"/>
          <w:sz w:val="20"/>
        </w:rPr>
        <w:t>•  Emergency messaging can trigger requirements beyond ordinary signage and must not be implied from a convenience display</w:t>
      </w:r>
    </w:p>
    <w:p>
      <w:pPr>
        <w:keepNext w:val="0"/>
        <w:spacing w:before="0" w:after="100" w:line="269" w:lineRule="auto"/>
        <w:ind w:left="187" w:hanging="187"/>
      </w:pPr>
      <w:r>
        <w:rPr>
          <w:rFonts w:ascii="Arial" w:hAnsi="Arial"/>
          <w:b w:val="0"/>
          <w:color w:val="181818"/>
          <w:sz w:val="20"/>
        </w:rPr>
        <w:t>•  Web content and templates require accessibility review appropriate to the audience and use</w:t>
      </w:r>
    </w:p>
    <w:p>
      <w:pPr>
        <w:keepNext w:val="0"/>
        <w:spacing w:before="0" w:after="100" w:line="269" w:lineRule="auto"/>
        <w:ind w:left="187" w:hanging="187"/>
      </w:pPr>
      <w:r>
        <w:rPr>
          <w:rFonts w:ascii="Arial" w:hAnsi="Arial"/>
          <w:b w:val="0"/>
          <w:color w:val="181818"/>
          <w:sz w:val="20"/>
        </w:rPr>
        <w:t>•  Cloud publishing, data feeds, and remote control depend on licensing, connectivity, source availability, and secured accounts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AVIXA — Published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World Wide Web Consortium — WCAG 2 Overview</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800-128: Security-Focused Configuration Management</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avixa.org/resources/standards/published-standards" TargetMode="External"/><Relationship Id="rId13" Type="http://schemas.openxmlformats.org/officeDocument/2006/relationships/hyperlink" Target="https://www.w3.org/WAI/standards-guidelines/wcag/" TargetMode="External"/><Relationship Id="rId14" Type="http://schemas.openxmlformats.org/officeDocument/2006/relationships/hyperlink" Target="https://csrc.nist.gov/pubs/sp/800/128/upd1/final" TargetMode="External"/><Relationship Id="rId15" Type="http://schemas.openxmlformats.org/officeDocument/2006/relationships/hyperlink" Target="https://ght.network/services/operational-systems/digital-sign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signage — Service specification</dc:title>
  <dc:subject>Commercial displays, mounts, players, content management, templates, schedules, data feeds, permissions, power, network, accessibility, monitoring, and fallback content, treated as one system.</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