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Environmental and facility monitoring</w:t>
      </w:r>
    </w:p>
    <w:p>
      <w:pPr>
        <w:keepNext w:val="0"/>
        <w:spacing w:before="0" w:after="240" w:line="269" w:lineRule="auto"/>
      </w:pPr>
      <w:r>
        <w:rPr>
          <w:rFonts w:ascii="Arial" w:hAnsi="Arial"/>
          <w:b w:val="0"/>
          <w:color w:val="646464"/>
          <w:sz w:val="17"/>
        </w:rPr>
        <w:t>GHT-SVC-031   •   Revision 1.0   •   06 September 2026   •   1 / 3</w:t>
      </w:r>
    </w:p>
    <w:p>
      <w:pPr>
        <w:keepNext w:val="0"/>
        <w:spacing w:before="0" w:after="180" w:line="269" w:lineRule="auto"/>
      </w:pPr>
      <w:r>
        <w:rPr>
          <w:rFonts w:ascii="Arial" w:hAnsi="Arial"/>
          <w:b w:val="0"/>
          <w:color w:val="181818"/>
          <w:sz w:val="22"/>
        </w:rPr>
        <w:t>Sensors, placement, gateways, power, network, timestamps, thresholds, persistence, alerts, acknowledgement, escalation, retention, and maintenance, assembled as one monitoring system.</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Condition data with known units and location, tested thresholds, working alert and escalation paths, stale-data detection, and maintenance records.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Environmental monitoring is a chain: measurand, sensor, placement, sampling, gateway, timestamp, transport, storage, threshold, alert, acknowledgement, escalation, action, and record. A dashboard alone does not create an operational response.</w:t>
      </w:r>
    </w:p>
    <w:p>
      <w:pPr>
        <w:keepNext w:val="0"/>
        <w:spacing w:before="0" w:after="120" w:line="269" w:lineRule="auto"/>
      </w:pPr>
      <w:r>
        <w:rPr>
          <w:rFonts w:ascii="Arial" w:hAnsi="Arial"/>
          <w:b w:val="0"/>
          <w:color w:val="181818"/>
          <w:sz w:val="20"/>
        </w:rPr>
        <w:t>Sensors should be placed for the protected process rather than convenience. Required accuracy, calibration, mapping, validation, redundancy, and record controls vary by use; regulated or safety-critical environments need discipline-specific requirements.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Measure</w:t>
            </w:r>
          </w:p>
        </w:tc>
        <w:tc>
          <w:tcPr>
            <w:tcW w:type="dxa" w:w="7200"/>
            <w:shd w:fill="F4F1E9"/>
          </w:tcPr>
          <w:p>
            <w:pPr>
              <w:spacing w:before="100" w:after="100"/>
            </w:pPr>
            <w:r>
              <w:rPr>
                <w:rFonts w:ascii="Arial" w:hAnsi="Arial"/>
                <w:sz w:val="18"/>
              </w:rPr>
              <w:t>Condition, range, accuracy, location, sensor, calibration assumption</w:t>
            </w:r>
          </w:p>
        </w:tc>
      </w:tr>
      <w:tr>
        <w:tc>
          <w:tcPr>
            <w:tcW w:type="dxa" w:w="2160"/>
            <w:shd w:fill="FFFFFF"/>
          </w:tcPr>
          <w:p>
            <w:pPr>
              <w:spacing w:before="100" w:after="100"/>
            </w:pPr>
            <w:r>
              <w:rPr>
                <w:rFonts w:ascii="Arial" w:hAnsi="Arial"/>
                <w:b/>
                <w:sz w:val="18"/>
              </w:rPr>
              <w:t>02  Collect</w:t>
            </w:r>
          </w:p>
        </w:tc>
        <w:tc>
          <w:tcPr>
            <w:tcW w:type="dxa" w:w="7200"/>
            <w:shd w:fill="FFFFFF"/>
          </w:tcPr>
          <w:p>
            <w:pPr>
              <w:spacing w:before="100" w:after="100"/>
            </w:pPr>
            <w:r>
              <w:rPr>
                <w:rFonts w:ascii="Arial" w:hAnsi="Arial"/>
                <w:sz w:val="18"/>
              </w:rPr>
              <w:t>Sampling, gateway, time, network, power, buffer, health state</w:t>
            </w:r>
          </w:p>
        </w:tc>
      </w:tr>
      <w:tr>
        <w:tc>
          <w:tcPr>
            <w:tcW w:type="dxa" w:w="2160"/>
            <w:shd w:fill="F4F1E9"/>
          </w:tcPr>
          <w:p>
            <w:pPr>
              <w:spacing w:before="100" w:after="100"/>
            </w:pPr>
            <w:r>
              <w:rPr>
                <w:rFonts w:ascii="Arial" w:hAnsi="Arial"/>
                <w:b/>
                <w:sz w:val="18"/>
              </w:rPr>
              <w:t>03  Interpret</w:t>
            </w:r>
          </w:p>
        </w:tc>
        <w:tc>
          <w:tcPr>
            <w:tcW w:type="dxa" w:w="7200"/>
            <w:shd w:fill="F4F1E9"/>
          </w:tcPr>
          <w:p>
            <w:pPr>
              <w:spacing w:before="100" w:after="100"/>
            </w:pPr>
            <w:r>
              <w:rPr>
                <w:rFonts w:ascii="Arial" w:hAnsi="Arial"/>
                <w:sz w:val="18"/>
              </w:rPr>
              <w:t>Units, threshold, persistence, hysteresis, trend, stale or invalid data</w:t>
            </w:r>
          </w:p>
        </w:tc>
      </w:tr>
      <w:tr>
        <w:tc>
          <w:tcPr>
            <w:tcW w:type="dxa" w:w="2160"/>
            <w:shd w:fill="FFFFFF"/>
          </w:tcPr>
          <w:p>
            <w:pPr>
              <w:spacing w:before="100" w:after="100"/>
            </w:pPr>
            <w:r>
              <w:rPr>
                <w:rFonts w:ascii="Arial" w:hAnsi="Arial"/>
                <w:b/>
                <w:sz w:val="18"/>
              </w:rPr>
              <w:t>04  Respond</w:t>
            </w:r>
          </w:p>
        </w:tc>
        <w:tc>
          <w:tcPr>
            <w:tcW w:type="dxa" w:w="7200"/>
            <w:shd w:fill="FFFFFF"/>
          </w:tcPr>
          <w:p>
            <w:pPr>
              <w:spacing w:before="100" w:after="100"/>
            </w:pPr>
            <w:r>
              <w:rPr>
                <w:rFonts w:ascii="Arial" w:hAnsi="Arial"/>
                <w:sz w:val="18"/>
              </w:rPr>
              <w:t>Notification, acknowledgement, escalation, action, work record, retention</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Equipment or product damage is discovered after the condition has passed</w:t>
      </w:r>
    </w:p>
    <w:p>
      <w:pPr>
        <w:keepNext w:val="0"/>
        <w:spacing w:before="0" w:after="100" w:line="269" w:lineRule="auto"/>
        <w:ind w:left="187" w:hanging="187"/>
      </w:pPr>
      <w:r>
        <w:rPr>
          <w:rFonts w:ascii="Arial" w:hAnsi="Arial"/>
          <w:b w:val="0"/>
          <w:color w:val="181818"/>
          <w:sz w:val="20"/>
        </w:rPr>
        <w:t>•  Alerts are frequent, ignored, misrouted, or lack acknowledgement and escalation</w:t>
      </w:r>
    </w:p>
    <w:p>
      <w:pPr>
        <w:keepNext w:val="0"/>
        <w:spacing w:before="0" w:after="100" w:line="269" w:lineRule="auto"/>
        <w:ind w:left="187" w:hanging="187"/>
      </w:pPr>
      <w:r>
        <w:rPr>
          <w:rFonts w:ascii="Arial" w:hAnsi="Arial"/>
          <w:b w:val="0"/>
          <w:color w:val="181818"/>
          <w:sz w:val="20"/>
        </w:rPr>
        <w:t>•  Sensors are mounted where installation is easy rather than where risk occurs</w:t>
      </w:r>
    </w:p>
    <w:p>
      <w:pPr>
        <w:keepNext w:val="0"/>
        <w:spacing w:before="0" w:after="100" w:line="269" w:lineRule="auto"/>
        <w:ind w:left="187" w:hanging="187"/>
      </w:pPr>
      <w:r>
        <w:rPr>
          <w:rFonts w:ascii="Arial" w:hAnsi="Arial"/>
          <w:b w:val="0"/>
          <w:color w:val="181818"/>
          <w:sz w:val="20"/>
        </w:rPr>
        <w:t>•  No one tracks calibration, batteries, gateway health, time, or last successful test</w:t>
      </w:r>
    </w:p>
    <w:p>
      <w:r>
        <w:br w:type="page"/>
      </w:r>
    </w:p>
    <w:p>
      <w:pPr>
        <w:keepNext/>
        <w:spacing w:before="1200" w:after="160" w:line="269" w:lineRule="auto"/>
      </w:pPr>
      <w:r>
        <w:rPr>
          <w:rFonts w:ascii="Arial" w:hAnsi="Arial"/>
          <w:b/>
          <w:color w:val="9B792B"/>
          <w:sz w:val="18"/>
        </w:rPr>
        <w:t>GHT-SVC-031 / ENVIRONMENTAL AND FACILITY MONITORING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Define condition and consequence</w:t>
      </w:r>
    </w:p>
    <w:p>
      <w:pPr>
        <w:keepNext w:val="0"/>
        <w:spacing w:before="0" w:after="80" w:line="269" w:lineRule="auto"/>
      </w:pPr>
      <w:r>
        <w:rPr>
          <w:rFonts w:ascii="Arial" w:hAnsi="Arial"/>
          <w:b w:val="0"/>
          <w:color w:val="181818"/>
          <w:sz w:val="20"/>
        </w:rPr>
        <w:t>Identify what is protected, measured condition, range, accuracy, location, time sensitivity, persistence, consequences, response owner, maintenance, and record need.</w:t>
      </w:r>
    </w:p>
    <w:p>
      <w:pPr>
        <w:keepNext w:val="0"/>
        <w:spacing w:before="0" w:after="140" w:line="269" w:lineRule="auto"/>
      </w:pPr>
      <w:r>
        <w:rPr>
          <w:rFonts w:ascii="Arial" w:hAnsi="Arial"/>
          <w:b/>
          <w:color w:val="181818"/>
          <w:sz w:val="18"/>
        </w:rPr>
        <w:t>Acceptance evidence: Condition-response matrix, site observations, current incidents, measurement requirements, and ownership list.</w:t>
      </w:r>
    </w:p>
    <w:p>
      <w:pPr>
        <w:keepNext/>
        <w:spacing w:before="200" w:after="120" w:line="269" w:lineRule="auto"/>
      </w:pPr>
      <w:r>
        <w:rPr>
          <w:rFonts w:ascii="Arial" w:hAnsi="Arial"/>
          <w:b/>
          <w:color w:val="9B792B"/>
          <w:sz w:val="24"/>
        </w:rPr>
        <w:t>02  Design measurement and alerting</w:t>
      </w:r>
    </w:p>
    <w:p>
      <w:pPr>
        <w:keepNext w:val="0"/>
        <w:spacing w:before="0" w:after="80" w:line="269" w:lineRule="auto"/>
      </w:pPr>
      <w:r>
        <w:rPr>
          <w:rFonts w:ascii="Arial" w:hAnsi="Arial"/>
          <w:b w:val="0"/>
          <w:color w:val="181818"/>
          <w:sz w:val="20"/>
        </w:rPr>
        <w:t>Select sensors, placement, mapping, gateways, network, power, time, sampling, thresholds, hysteresis, persistence, notifications, acknowledgement, escalation, and retention.</w:t>
      </w:r>
    </w:p>
    <w:p>
      <w:pPr>
        <w:keepNext w:val="0"/>
        <w:spacing w:before="0" w:after="140" w:line="269" w:lineRule="auto"/>
      </w:pPr>
      <w:r>
        <w:rPr>
          <w:rFonts w:ascii="Arial" w:hAnsi="Arial"/>
          <w:b/>
          <w:color w:val="181818"/>
          <w:sz w:val="18"/>
        </w:rPr>
        <w:t>Acceptance evidence: Sensor and gateway plan, data-flow diagram, threshold rationale, alert matrix, maintenance schedule, and validation method.</w:t>
      </w:r>
    </w:p>
    <w:p>
      <w:pPr>
        <w:keepNext/>
        <w:spacing w:before="200" w:after="120" w:line="269" w:lineRule="auto"/>
      </w:pPr>
      <w:r>
        <w:rPr>
          <w:rFonts w:ascii="Arial" w:hAnsi="Arial"/>
          <w:b/>
          <w:color w:val="9B792B"/>
          <w:sz w:val="24"/>
        </w:rPr>
        <w:t>03  Install and baseline</w:t>
      </w:r>
    </w:p>
    <w:p>
      <w:pPr>
        <w:keepNext w:val="0"/>
        <w:spacing w:before="0" w:after="80" w:line="269" w:lineRule="auto"/>
      </w:pPr>
      <w:r>
        <w:rPr>
          <w:rFonts w:ascii="Arial" w:hAnsi="Arial"/>
          <w:b w:val="0"/>
          <w:color w:val="181818"/>
          <w:sz w:val="20"/>
        </w:rPr>
        <w:t>Label and place sensors, configure units and timing, establish users and routes, compare readings where appropriate, and observe normal variation before final thresholds.</w:t>
      </w:r>
    </w:p>
    <w:p>
      <w:pPr>
        <w:keepNext w:val="0"/>
        <w:spacing w:before="0" w:after="140" w:line="269" w:lineRule="auto"/>
      </w:pPr>
      <w:r>
        <w:rPr>
          <w:rFonts w:ascii="Arial" w:hAnsi="Arial"/>
          <w:b/>
          <w:color w:val="181818"/>
          <w:sz w:val="18"/>
        </w:rPr>
        <w:t>Acceptance evidence: Asset and placement photos, configuration record, baseline trend, comparison observations, and alert contacts.</w:t>
      </w:r>
    </w:p>
    <w:p>
      <w:pPr>
        <w:keepNext/>
        <w:spacing w:before="200" w:after="120" w:line="269" w:lineRule="auto"/>
      </w:pPr>
      <w:r>
        <w:rPr>
          <w:rFonts w:ascii="Arial" w:hAnsi="Arial"/>
          <w:b/>
          <w:color w:val="9B792B"/>
          <w:sz w:val="24"/>
        </w:rPr>
        <w:t>04  Exercise condition and failure</w:t>
      </w:r>
    </w:p>
    <w:p>
      <w:pPr>
        <w:keepNext w:val="0"/>
        <w:spacing w:before="0" w:after="80" w:line="269" w:lineRule="auto"/>
      </w:pPr>
      <w:r>
        <w:rPr>
          <w:rFonts w:ascii="Arial" w:hAnsi="Arial"/>
          <w:b w:val="0"/>
          <w:color w:val="181818"/>
          <w:sz w:val="20"/>
        </w:rPr>
        <w:t>Safely simulate or test threshold, persistence, alert, acknowledgement, escalation, sensor loss, low battery, gateway loss, power loss, stale data, recovery, and reporting.</w:t>
      </w:r>
    </w:p>
    <w:p>
      <w:pPr>
        <w:keepNext w:val="0"/>
        <w:spacing w:before="0" w:after="140" w:line="269" w:lineRule="auto"/>
      </w:pPr>
      <w:r>
        <w:rPr>
          <w:rFonts w:ascii="Arial" w:hAnsi="Arial"/>
          <w:b/>
          <w:color w:val="181818"/>
          <w:sz w:val="18"/>
        </w:rPr>
        <w:t>Acceptance evidence: End-to-end alert samples, timestamps, acknowledgement and escalation record, stale-data alarm, recovery result, and owner runbook.</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Condition, threshold, response, and ownership matrix</w:t>
      </w:r>
    </w:p>
    <w:p>
      <w:pPr>
        <w:keepNext w:val="0"/>
        <w:spacing w:before="0" w:after="100" w:line="269" w:lineRule="auto"/>
        <w:ind w:left="187" w:hanging="187"/>
      </w:pPr>
      <w:r>
        <w:rPr>
          <w:rFonts w:ascii="Arial" w:hAnsi="Arial"/>
          <w:b w:val="0"/>
          <w:color w:val="181818"/>
          <w:sz w:val="20"/>
        </w:rPr>
        <w:t>•  Sensor, placement, gateway, network, power, and data-flow plan</w:t>
      </w:r>
    </w:p>
    <w:p>
      <w:pPr>
        <w:keepNext w:val="0"/>
        <w:spacing w:before="0" w:after="100" w:line="269" w:lineRule="auto"/>
        <w:ind w:left="187" w:hanging="187"/>
      </w:pPr>
      <w:r>
        <w:rPr>
          <w:rFonts w:ascii="Arial" w:hAnsi="Arial"/>
          <w:b w:val="0"/>
          <w:color w:val="181818"/>
          <w:sz w:val="20"/>
        </w:rPr>
        <w:t>•  Baseline, threshold rationale, and configuration record</w:t>
      </w:r>
    </w:p>
    <w:p>
      <w:pPr>
        <w:keepNext w:val="0"/>
        <w:spacing w:before="0" w:after="100" w:line="269" w:lineRule="auto"/>
        <w:ind w:left="187" w:hanging="187"/>
      </w:pPr>
      <w:r>
        <w:rPr>
          <w:rFonts w:ascii="Arial" w:hAnsi="Arial"/>
          <w:b w:val="0"/>
          <w:color w:val="181818"/>
          <w:sz w:val="20"/>
        </w:rPr>
        <w:t>•  End-to-end condition, stale-data, communication, power, escalation, and recovery evidence</w:t>
      </w:r>
    </w:p>
    <w:p>
      <w:pPr>
        <w:keepNext w:val="0"/>
        <w:spacing w:before="0" w:after="100" w:line="269" w:lineRule="auto"/>
        <w:ind w:left="187" w:hanging="187"/>
      </w:pPr>
      <w:r>
        <w:rPr>
          <w:rFonts w:ascii="Arial" w:hAnsi="Arial"/>
          <w:b w:val="0"/>
          <w:color w:val="181818"/>
          <w:sz w:val="20"/>
        </w:rPr>
        <w:t>•  Asset list, maintenance and calibration assumptions, alert runbook, and reporting guide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GHT-SVC-031 / ENVIRONMENTAL AND FACILITY MONITORING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Protected asset or process, condition, range, accuracy, location, time, and consequence</w:t>
      </w:r>
    </w:p>
    <w:p>
      <w:pPr>
        <w:keepNext w:val="0"/>
        <w:spacing w:before="0" w:after="100" w:line="269" w:lineRule="auto"/>
        <w:ind w:left="187" w:hanging="187"/>
      </w:pPr>
      <w:r>
        <w:rPr>
          <w:rFonts w:ascii="Arial" w:hAnsi="Arial"/>
          <w:b w:val="0"/>
          <w:color w:val="181818"/>
          <w:sz w:val="20"/>
        </w:rPr>
        <w:t>•  Normal variation, thresholds, persistence, hysteresis, schedule, and rate of change</w:t>
      </w:r>
    </w:p>
    <w:p>
      <w:pPr>
        <w:keepNext w:val="0"/>
        <w:spacing w:before="0" w:after="100" w:line="269" w:lineRule="auto"/>
        <w:ind w:left="187" w:hanging="187"/>
      </w:pPr>
      <w:r>
        <w:rPr>
          <w:rFonts w:ascii="Arial" w:hAnsi="Arial"/>
          <w:b w:val="0"/>
          <w:color w:val="181818"/>
          <w:sz w:val="20"/>
        </w:rPr>
        <w:t>•  Sensor environment, mounting, calibration, battery, gateway, network, power, and time source</w:t>
      </w:r>
    </w:p>
    <w:p>
      <w:pPr>
        <w:keepNext w:val="0"/>
        <w:spacing w:before="0" w:after="100" w:line="269" w:lineRule="auto"/>
        <w:ind w:left="187" w:hanging="187"/>
      </w:pPr>
      <w:r>
        <w:rPr>
          <w:rFonts w:ascii="Arial" w:hAnsi="Arial"/>
          <w:b w:val="0"/>
          <w:color w:val="181818"/>
          <w:sz w:val="20"/>
        </w:rPr>
        <w:t>•  Recipients, acknowledgement, escalation, after-hours coverage, response target, and work ownership</w:t>
      </w:r>
    </w:p>
    <w:p>
      <w:pPr>
        <w:keepNext w:val="0"/>
        <w:spacing w:before="0" w:after="100" w:line="269" w:lineRule="auto"/>
        <w:ind w:left="187" w:hanging="187"/>
      </w:pPr>
      <w:r>
        <w:rPr>
          <w:rFonts w:ascii="Arial" w:hAnsi="Arial"/>
          <w:b w:val="0"/>
          <w:color w:val="181818"/>
          <w:sz w:val="20"/>
        </w:rPr>
        <w:t>•  Data units, quality, retention, export, privacy, integration, reporting, and maintenance</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Monitoring does not by itself control the condition or guarantee that a person responds</w:t>
      </w:r>
    </w:p>
    <w:p>
      <w:pPr>
        <w:keepNext w:val="0"/>
        <w:spacing w:before="0" w:after="100" w:line="269" w:lineRule="auto"/>
        <w:ind w:left="187" w:hanging="187"/>
      </w:pPr>
      <w:r>
        <w:rPr>
          <w:rFonts w:ascii="Arial" w:hAnsi="Arial"/>
          <w:b w:val="0"/>
          <w:color w:val="181818"/>
          <w:sz w:val="20"/>
        </w:rPr>
        <w:t>•  Accuracy, calibration, placement, sampling, drift, condensation, interference, batteries, and connectivity affect data quality</w:t>
      </w:r>
    </w:p>
    <w:p>
      <w:pPr>
        <w:keepNext w:val="0"/>
        <w:spacing w:before="0" w:after="100" w:line="269" w:lineRule="auto"/>
        <w:ind w:left="187" w:hanging="187"/>
      </w:pPr>
      <w:r>
        <w:rPr>
          <w:rFonts w:ascii="Arial" w:hAnsi="Arial"/>
          <w:b w:val="0"/>
          <w:color w:val="181818"/>
          <w:sz w:val="20"/>
        </w:rPr>
        <w:t>•  Regulated storage, clinical, food, industrial, environmental, or safety applications can require validated procedures and records beyond general facility monitoring</w:t>
      </w:r>
    </w:p>
    <w:p>
      <w:pPr>
        <w:keepNext w:val="0"/>
        <w:spacing w:before="0" w:after="100" w:line="269" w:lineRule="auto"/>
        <w:ind w:left="187" w:hanging="187"/>
      </w:pPr>
      <w:r>
        <w:rPr>
          <w:rFonts w:ascii="Arial" w:hAnsi="Arial"/>
          <w:b w:val="0"/>
          <w:color w:val="181818"/>
          <w:sz w:val="20"/>
        </w:rPr>
        <w:t>•  Coverage windows, response targets, and escalation are contract- and owner-specific and must be documented explicitly</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SP 800-53 Rev. 5: Security and Privacy Controls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National Institute of Standards and Technology — SP 800-82 Rev. 3: Guide to Operational Technology Security</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Cyber-Physical Systems and Internet of Things Program</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53/r5/upd1/final" TargetMode="External"/><Relationship Id="rId13" Type="http://schemas.openxmlformats.org/officeDocument/2006/relationships/hyperlink" Target="https://csrc.nist.gov/pubs/sp/800/82/r3/final" TargetMode="External"/><Relationship Id="rId14" Type="http://schemas.openxmlformats.org/officeDocument/2006/relationships/hyperlink" Target="https://www.nist.gov/cyber-physical-systems" TargetMode="External"/><Relationship Id="rId15" Type="http://schemas.openxmlformats.org/officeDocument/2006/relationships/hyperlink" Target="https://ght.network/services/operational-systems/environmental-monit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and facility monitoring — Service specification</dc:title>
  <dc:subject>Sensors, placement, gateways, power, network, timestamps, thresholds, persistence, alerts, acknowledgement, escalation, retention, and maintenance, assembled as one monitoring system.</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