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Fiber splicing and testing</w:t>
      </w:r>
    </w:p>
    <w:p>
      <w:pPr>
        <w:keepNext w:val="0"/>
        <w:spacing w:before="0" w:after="240" w:line="269" w:lineRule="auto"/>
      </w:pPr>
      <w:r>
        <w:rPr>
          <w:rFonts w:ascii="Arial" w:hAnsi="Arial"/>
          <w:b w:val="0"/>
          <w:color w:val="646464"/>
          <w:sz w:val="17"/>
        </w:rPr>
        <w:t>GHT-SVC-007   •   Revision 1.0   •   06 September 2026   •   1 / 3</w:t>
      </w:r>
    </w:p>
    <w:p>
      <w:pPr>
        <w:keepNext w:val="0"/>
        <w:spacing w:before="0" w:after="180" w:line="269" w:lineRule="auto"/>
      </w:pPr>
      <w:r>
        <w:rPr>
          <w:rFonts w:ascii="Arial" w:hAnsi="Arial"/>
          <w:b w:val="0"/>
          <w:color w:val="181818"/>
          <w:sz w:val="22"/>
        </w:rPr>
        <w:t>Fusion splicing creates permanent strand connections. OLTS measures end-to-end insertion loss, and OTDR testing adds event-location detail when the route or acceptance plan calls for it.</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Labeled splice trays and strand records, insertion-loss results compared with the loss budget, and OTDR traces when specified.</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Fusion splicing aligns and joins prepared fibers, then protects and organizes the splice in a tray or closure. Splice workmanship, fiber compatibility, enclosure organization and documentation all affect restoration later.</w:t>
      </w:r>
    </w:p>
    <w:p>
      <w:pPr>
        <w:keepNext w:val="0"/>
        <w:spacing w:before="0" w:after="120" w:line="269" w:lineRule="auto"/>
      </w:pPr>
      <w:r>
        <w:rPr>
          <w:rFonts w:ascii="Arial" w:hAnsi="Arial"/>
          <w:b w:val="0"/>
          <w:color w:val="181818"/>
          <w:sz w:val="20"/>
        </w:rPr>
        <w:t>An optical loss test set measures end-to-end insertion loss. An OTDR estimates event location and characteristics from backscatter. They answer different questions and should be specified deliberately.</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Reference plane</w:t>
            </w:r>
          </w:p>
        </w:tc>
        <w:tc>
          <w:tcPr>
            <w:tcW w:type="dxa" w:w="7200"/>
            <w:shd w:fill="F4F1E9"/>
          </w:tcPr>
          <w:p>
            <w:pPr>
              <w:spacing w:before="100" w:after="100"/>
            </w:pPr>
            <w:r>
              <w:rPr>
                <w:rFonts w:ascii="Arial" w:hAnsi="Arial"/>
                <w:sz w:val="18"/>
              </w:rPr>
              <w:t>Defined test-cable and instrument setup for repeatable measurement</w:t>
            </w:r>
          </w:p>
        </w:tc>
      </w:tr>
      <w:tr>
        <w:tc>
          <w:tcPr>
            <w:tcW w:type="dxa" w:w="2160"/>
            <w:shd w:fill="FFFFFF"/>
          </w:tcPr>
          <w:p>
            <w:pPr>
              <w:spacing w:before="100" w:after="100"/>
            </w:pPr>
            <w:r>
              <w:rPr>
                <w:rFonts w:ascii="Arial" w:hAnsi="Arial"/>
                <w:b/>
                <w:sz w:val="18"/>
              </w:rPr>
              <w:t>02  Connector events</w:t>
            </w:r>
          </w:p>
        </w:tc>
        <w:tc>
          <w:tcPr>
            <w:tcW w:type="dxa" w:w="7200"/>
            <w:shd w:fill="FFFFFF"/>
          </w:tcPr>
          <w:p>
            <w:pPr>
              <w:spacing w:before="100" w:after="100"/>
            </w:pPr>
            <w:r>
              <w:rPr>
                <w:rFonts w:ascii="Arial" w:hAnsi="Arial"/>
                <w:sz w:val="18"/>
              </w:rPr>
              <w:t>Mated interfaces that contribute loss and reflectance</w:t>
            </w:r>
          </w:p>
        </w:tc>
      </w:tr>
      <w:tr>
        <w:tc>
          <w:tcPr>
            <w:tcW w:type="dxa" w:w="2160"/>
            <w:shd w:fill="F4F1E9"/>
          </w:tcPr>
          <w:p>
            <w:pPr>
              <w:spacing w:before="100" w:after="100"/>
            </w:pPr>
            <w:r>
              <w:rPr>
                <w:rFonts w:ascii="Arial" w:hAnsi="Arial"/>
                <w:b/>
                <w:sz w:val="18"/>
              </w:rPr>
              <w:t>03  Splice events</w:t>
            </w:r>
          </w:p>
        </w:tc>
        <w:tc>
          <w:tcPr>
            <w:tcW w:type="dxa" w:w="7200"/>
            <w:shd w:fill="F4F1E9"/>
          </w:tcPr>
          <w:p>
            <w:pPr>
              <w:spacing w:before="100" w:after="100"/>
            </w:pPr>
            <w:r>
              <w:rPr>
                <w:rFonts w:ascii="Arial" w:hAnsi="Arial"/>
                <w:sz w:val="18"/>
              </w:rPr>
              <w:t>Permanent joins organized in trays or closures</w:t>
            </w:r>
          </w:p>
        </w:tc>
      </w:tr>
      <w:tr>
        <w:tc>
          <w:tcPr>
            <w:tcW w:type="dxa" w:w="2160"/>
            <w:shd w:fill="FFFFFF"/>
          </w:tcPr>
          <w:p>
            <w:pPr>
              <w:spacing w:before="100" w:after="100"/>
            </w:pPr>
            <w:r>
              <w:rPr>
                <w:rFonts w:ascii="Arial" w:hAnsi="Arial"/>
                <w:b/>
                <w:sz w:val="18"/>
              </w:rPr>
              <w:t>04  End-to-end path</w:t>
            </w:r>
          </w:p>
        </w:tc>
        <w:tc>
          <w:tcPr>
            <w:tcW w:type="dxa" w:w="7200"/>
            <w:shd w:fill="FFFFFF"/>
          </w:tcPr>
          <w:p>
            <w:pPr>
              <w:spacing w:before="100" w:after="100"/>
            </w:pPr>
            <w:r>
              <w:rPr>
                <w:rFonts w:ascii="Arial" w:hAnsi="Arial"/>
                <w:sz w:val="18"/>
              </w:rPr>
              <w:t>Total cable-plant loss compared with the link budget</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New or repaired cable requires permanent joins</w:t>
      </w:r>
    </w:p>
    <w:p>
      <w:pPr>
        <w:keepNext w:val="0"/>
        <w:spacing w:before="0" w:after="100" w:line="269" w:lineRule="auto"/>
        <w:ind w:left="187" w:hanging="187"/>
      </w:pPr>
      <w:r>
        <w:rPr>
          <w:rFonts w:ascii="Arial" w:hAnsi="Arial"/>
          <w:b w:val="0"/>
          <w:color w:val="181818"/>
          <w:sz w:val="20"/>
        </w:rPr>
        <w:t>•  Existing links fail, flap or lack baseline results</w:t>
      </w:r>
    </w:p>
    <w:p>
      <w:pPr>
        <w:keepNext w:val="0"/>
        <w:spacing w:before="0" w:after="100" w:line="269" w:lineRule="auto"/>
        <w:ind w:left="187" w:hanging="187"/>
      </w:pPr>
      <w:r>
        <w:rPr>
          <w:rFonts w:ascii="Arial" w:hAnsi="Arial"/>
          <w:b w:val="0"/>
          <w:color w:val="181818"/>
          <w:sz w:val="20"/>
        </w:rPr>
        <w:t>•  A long route needs event-location evidence</w:t>
      </w:r>
    </w:p>
    <w:p>
      <w:pPr>
        <w:keepNext w:val="0"/>
        <w:spacing w:before="0" w:after="100" w:line="269" w:lineRule="auto"/>
        <w:ind w:left="187" w:hanging="187"/>
      </w:pPr>
      <w:r>
        <w:rPr>
          <w:rFonts w:ascii="Arial" w:hAnsi="Arial"/>
          <w:b w:val="0"/>
          <w:color w:val="181818"/>
          <w:sz w:val="20"/>
        </w:rPr>
        <w:t>•  Owners need strand-level closeout for restoration</w:t>
      </w:r>
    </w:p>
    <w:p>
      <w:r>
        <w:br w:type="page"/>
      </w:r>
    </w:p>
    <w:p>
      <w:pPr>
        <w:keepNext/>
        <w:spacing w:before="1200" w:after="160" w:line="269" w:lineRule="auto"/>
      </w:pPr>
      <w:r>
        <w:rPr>
          <w:rFonts w:ascii="Arial" w:hAnsi="Arial"/>
          <w:b/>
          <w:color w:val="9B792B"/>
          <w:sz w:val="18"/>
        </w:rPr>
        <w:t>GHT-SVC-007 / FIBER SPLICING AND TESTING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Test plan</w:t>
      </w:r>
    </w:p>
    <w:p>
      <w:pPr>
        <w:keepNext w:val="0"/>
        <w:spacing w:before="0" w:after="80" w:line="269" w:lineRule="auto"/>
      </w:pPr>
      <w:r>
        <w:rPr>
          <w:rFonts w:ascii="Arial" w:hAnsi="Arial"/>
          <w:b w:val="0"/>
          <w:color w:val="181818"/>
          <w:sz w:val="20"/>
        </w:rPr>
        <w:t>Define fibers, wavelengths, references, directions, launch/receive use and acceptance limits.</w:t>
      </w:r>
    </w:p>
    <w:p>
      <w:pPr>
        <w:keepNext w:val="0"/>
        <w:spacing w:before="0" w:after="140" w:line="269" w:lineRule="auto"/>
      </w:pPr>
      <w:r>
        <w:rPr>
          <w:rFonts w:ascii="Arial" w:hAnsi="Arial"/>
          <w:b/>
          <w:color w:val="181818"/>
          <w:sz w:val="18"/>
        </w:rPr>
        <w:t>Acceptance evidence: Approved fiber test matrix and calculated loss budget</w:t>
      </w:r>
    </w:p>
    <w:p>
      <w:pPr>
        <w:keepNext/>
        <w:spacing w:before="200" w:after="120" w:line="269" w:lineRule="auto"/>
      </w:pPr>
      <w:r>
        <w:rPr>
          <w:rFonts w:ascii="Arial" w:hAnsi="Arial"/>
          <w:b/>
          <w:color w:val="9B792B"/>
          <w:sz w:val="24"/>
        </w:rPr>
        <w:t>02  Prepare and splice</w:t>
      </w:r>
    </w:p>
    <w:p>
      <w:pPr>
        <w:keepNext w:val="0"/>
        <w:spacing w:before="0" w:after="80" w:line="269" w:lineRule="auto"/>
      </w:pPr>
      <w:r>
        <w:rPr>
          <w:rFonts w:ascii="Arial" w:hAnsi="Arial"/>
          <w:b w:val="0"/>
          <w:color w:val="181818"/>
          <w:sz w:val="20"/>
        </w:rPr>
        <w:t>Identify strands, prepare fiber, fusion splice and organize protection in the assigned tray.</w:t>
      </w:r>
    </w:p>
    <w:p>
      <w:pPr>
        <w:keepNext w:val="0"/>
        <w:spacing w:before="0" w:after="140" w:line="269" w:lineRule="auto"/>
      </w:pPr>
      <w:r>
        <w:rPr>
          <w:rFonts w:ascii="Arial" w:hAnsi="Arial"/>
          <w:b/>
          <w:color w:val="181818"/>
          <w:sz w:val="18"/>
        </w:rPr>
        <w:t>Acceptance evidence: Splice-machine results and tray/closure photos</w:t>
      </w:r>
    </w:p>
    <w:p>
      <w:pPr>
        <w:keepNext/>
        <w:spacing w:before="200" w:after="120" w:line="269" w:lineRule="auto"/>
      </w:pPr>
      <w:r>
        <w:rPr>
          <w:rFonts w:ascii="Arial" w:hAnsi="Arial"/>
          <w:b/>
          <w:color w:val="9B792B"/>
          <w:sz w:val="24"/>
        </w:rPr>
        <w:t>03  Inspect and measure</w:t>
      </w:r>
    </w:p>
    <w:p>
      <w:pPr>
        <w:keepNext w:val="0"/>
        <w:spacing w:before="0" w:after="80" w:line="269" w:lineRule="auto"/>
      </w:pPr>
      <w:r>
        <w:rPr>
          <w:rFonts w:ascii="Arial" w:hAnsi="Arial"/>
          <w:b w:val="0"/>
          <w:color w:val="181818"/>
          <w:sz w:val="20"/>
        </w:rPr>
        <w:t>Inspect/clean connectors, verify continuity and polarity, then run the specified tests.</w:t>
      </w:r>
    </w:p>
    <w:p>
      <w:pPr>
        <w:keepNext w:val="0"/>
        <w:spacing w:before="0" w:after="140" w:line="269" w:lineRule="auto"/>
      </w:pPr>
      <w:r>
        <w:rPr>
          <w:rFonts w:ascii="Arial" w:hAnsi="Arial"/>
          <w:b/>
          <w:color w:val="181818"/>
          <w:sz w:val="18"/>
        </w:rPr>
        <w:t>Acceptance evidence: Connector inspection log, OLTS files and OTDR traces where scoped</w:t>
      </w:r>
    </w:p>
    <w:p>
      <w:pPr>
        <w:keepNext/>
        <w:spacing w:before="200" w:after="120" w:line="269" w:lineRule="auto"/>
      </w:pPr>
      <w:r>
        <w:rPr>
          <w:rFonts w:ascii="Arial" w:hAnsi="Arial"/>
          <w:b/>
          <w:color w:val="9B792B"/>
          <w:sz w:val="24"/>
        </w:rPr>
        <w:t>04  Resolve and close</w:t>
      </w:r>
    </w:p>
    <w:p>
      <w:pPr>
        <w:keepNext w:val="0"/>
        <w:spacing w:before="0" w:after="80" w:line="269" w:lineRule="auto"/>
      </w:pPr>
      <w:r>
        <w:rPr>
          <w:rFonts w:ascii="Arial" w:hAnsi="Arial"/>
          <w:b w:val="0"/>
          <w:color w:val="181818"/>
          <w:sz w:val="20"/>
        </w:rPr>
        <w:t>Compare results to budget, investigate exceptions and publish final strand records.</w:t>
      </w:r>
    </w:p>
    <w:p>
      <w:pPr>
        <w:keepNext w:val="0"/>
        <w:spacing w:before="0" w:after="140" w:line="269" w:lineRule="auto"/>
      </w:pPr>
      <w:r>
        <w:rPr>
          <w:rFonts w:ascii="Arial" w:hAnsi="Arial"/>
          <w:b/>
          <w:color w:val="181818"/>
          <w:sz w:val="18"/>
        </w:rPr>
        <w:t>Acceptance evidence: Pass/exception summary, corrected retests and final splice schedule</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Splice and tray schedule</w:t>
      </w:r>
    </w:p>
    <w:p>
      <w:pPr>
        <w:keepNext w:val="0"/>
        <w:spacing w:before="0" w:after="100" w:line="269" w:lineRule="auto"/>
        <w:ind w:left="187" w:hanging="187"/>
      </w:pPr>
      <w:r>
        <w:rPr>
          <w:rFonts w:ascii="Arial" w:hAnsi="Arial"/>
          <w:b w:val="0"/>
          <w:color w:val="181818"/>
          <w:sz w:val="20"/>
        </w:rPr>
        <w:t>•  Fusion-splice result export where available</w:t>
      </w:r>
    </w:p>
    <w:p>
      <w:pPr>
        <w:keepNext w:val="0"/>
        <w:spacing w:before="0" w:after="100" w:line="269" w:lineRule="auto"/>
        <w:ind w:left="187" w:hanging="187"/>
      </w:pPr>
      <w:r>
        <w:rPr>
          <w:rFonts w:ascii="Arial" w:hAnsi="Arial"/>
          <w:b w:val="0"/>
          <w:color w:val="181818"/>
          <w:sz w:val="20"/>
        </w:rPr>
        <w:t>•  End-to-end insertion-loss files</w:t>
      </w:r>
    </w:p>
    <w:p>
      <w:pPr>
        <w:keepNext w:val="0"/>
        <w:spacing w:before="0" w:after="100" w:line="269" w:lineRule="auto"/>
        <w:ind w:left="187" w:hanging="187"/>
      </w:pPr>
      <w:r>
        <w:rPr>
          <w:rFonts w:ascii="Arial" w:hAnsi="Arial"/>
          <w:b w:val="0"/>
          <w:color w:val="181818"/>
          <w:sz w:val="20"/>
        </w:rPr>
        <w:t>•  OTDR traces where specified</w:t>
      </w:r>
    </w:p>
    <w:p>
      <w:pPr>
        <w:keepNext w:val="0"/>
        <w:spacing w:before="0" w:after="100" w:line="269" w:lineRule="auto"/>
        <w:ind w:left="187" w:hanging="187"/>
      </w:pPr>
      <w:r>
        <w:rPr>
          <w:rFonts w:ascii="Arial" w:hAnsi="Arial"/>
          <w:b w:val="0"/>
          <w:color w:val="181818"/>
          <w:sz w:val="20"/>
        </w:rPr>
        <w:t>•  Exception, retest and final acceptance summary</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GHT-SVC-007 / FIBER SPLICING AND TESTING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Fiber type, count, route and connector interface</w:t>
      </w:r>
    </w:p>
    <w:p>
      <w:pPr>
        <w:keepNext w:val="0"/>
        <w:spacing w:before="0" w:after="100" w:line="269" w:lineRule="auto"/>
        <w:ind w:left="187" w:hanging="187"/>
      </w:pPr>
      <w:r>
        <w:rPr>
          <w:rFonts w:ascii="Arial" w:hAnsi="Arial"/>
          <w:b w:val="0"/>
          <w:color w:val="181818"/>
          <w:sz w:val="20"/>
        </w:rPr>
        <w:t>•  Calculated loss budget and acceptance limits</w:t>
      </w:r>
    </w:p>
    <w:p>
      <w:pPr>
        <w:keepNext w:val="0"/>
        <w:spacing w:before="0" w:after="100" w:line="269" w:lineRule="auto"/>
        <w:ind w:left="187" w:hanging="187"/>
      </w:pPr>
      <w:r>
        <w:rPr>
          <w:rFonts w:ascii="Arial" w:hAnsi="Arial"/>
          <w:b w:val="0"/>
          <w:color w:val="181818"/>
          <w:sz w:val="20"/>
        </w:rPr>
        <w:t>•  Test wavelengths, directions and file format</w:t>
      </w:r>
    </w:p>
    <w:p>
      <w:pPr>
        <w:keepNext w:val="0"/>
        <w:spacing w:before="0" w:after="100" w:line="269" w:lineRule="auto"/>
        <w:ind w:left="187" w:hanging="187"/>
      </w:pPr>
      <w:r>
        <w:rPr>
          <w:rFonts w:ascii="Arial" w:hAnsi="Arial"/>
          <w:b w:val="0"/>
          <w:color w:val="181818"/>
          <w:sz w:val="20"/>
        </w:rPr>
        <w:t>•  Closure, tray and splice-allocation plan</w:t>
      </w:r>
    </w:p>
    <w:p>
      <w:pPr>
        <w:keepNext w:val="0"/>
        <w:spacing w:before="0" w:after="100" w:line="269" w:lineRule="auto"/>
        <w:ind w:left="187" w:hanging="187"/>
      </w:pPr>
      <w:r>
        <w:rPr>
          <w:rFonts w:ascii="Arial" w:hAnsi="Arial"/>
          <w:b w:val="0"/>
          <w:color w:val="181818"/>
          <w:sz w:val="20"/>
        </w:rPr>
        <w:t>•  Access, outage and restoration priority</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Connector contamination and reference uncertainty</w:t>
      </w:r>
    </w:p>
    <w:p>
      <w:pPr>
        <w:keepNext w:val="0"/>
        <w:spacing w:before="0" w:after="100" w:line="269" w:lineRule="auto"/>
        <w:ind w:left="187" w:hanging="187"/>
      </w:pPr>
      <w:r>
        <w:rPr>
          <w:rFonts w:ascii="Arial" w:hAnsi="Arial"/>
          <w:b w:val="0"/>
          <w:color w:val="181818"/>
          <w:sz w:val="20"/>
        </w:rPr>
        <w:t>•  Mixed fiber/backscatter characteristics in OTDR analysis</w:t>
      </w:r>
    </w:p>
    <w:p>
      <w:pPr>
        <w:keepNext w:val="0"/>
        <w:spacing w:before="0" w:after="100" w:line="269" w:lineRule="auto"/>
        <w:ind w:left="187" w:hanging="187"/>
      </w:pPr>
      <w:r>
        <w:rPr>
          <w:rFonts w:ascii="Arial" w:hAnsi="Arial"/>
          <w:b w:val="0"/>
          <w:color w:val="181818"/>
          <w:sz w:val="20"/>
        </w:rPr>
        <w:t>•  Launch/receive access at both ends</w:t>
      </w:r>
    </w:p>
    <w:p>
      <w:pPr>
        <w:keepNext w:val="0"/>
        <w:spacing w:before="0" w:after="100" w:line="269" w:lineRule="auto"/>
        <w:ind w:left="187" w:hanging="187"/>
      </w:pPr>
      <w:r>
        <w:rPr>
          <w:rFonts w:ascii="Arial" w:hAnsi="Arial"/>
          <w:b w:val="0"/>
          <w:color w:val="181818"/>
          <w:sz w:val="20"/>
        </w:rPr>
        <w:t>•  Live-service windows and strand identification</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Fiber Optic Association — Fiber Optic Testing</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Fiber Optic Association — Optical Time Domain Reflectometers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Fiber Optic Association — FOA-6a: Fiber Optic Cable Plants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Telecommunications Industry Association — TR-42 Telecommunications Cabling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foa.org/tech/ref/basic/test.html" TargetMode="External"/><Relationship Id="rId13" Type="http://schemas.openxmlformats.org/officeDocument/2006/relationships/hyperlink" Target="https://www.foa.org/tech/ref/testing/OTDR/OTDR.html" TargetMode="External"/><Relationship Id="rId14" Type="http://schemas.openxmlformats.org/officeDocument/2006/relationships/hyperlink" Target="https://www.foa.org/tech/ref/1pstandards/FOA-6.pdf" TargetMode="External"/><Relationship Id="rId15" Type="http://schemas.openxmlformats.org/officeDocument/2006/relationships/hyperlink" Target="https://tiaonline.org/standards/tr-42/" TargetMode="External"/><Relationship Id="rId16" Type="http://schemas.openxmlformats.org/officeDocument/2006/relationships/hyperlink" Target="https://ght.network/services/physical-infrastructure/fiber-splicing-test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Fiber splicing and testing — Service specification</dc:title>
  <dc:subject>Fusion splicing creates permanent strand connections. OLTS measures end-to-end insertion loss, and OTDR testing adds event-location detail when the route or acceptance plan calls for it.</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