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BUSINESS SYSTEMS</w:t>
      </w:r>
    </w:p>
    <w:p>
      <w:pPr>
        <w:keepNext/>
        <w:spacing w:before="0" w:after="180" w:line="269" w:lineRule="auto"/>
      </w:pPr>
      <w:r>
        <w:rPr>
          <w:rFonts w:ascii="Arial" w:hAnsi="Arial"/>
          <w:b/>
          <w:color w:val="181818"/>
          <w:sz w:val="48"/>
        </w:rPr>
        <w:t>Handheld and business device deployment</w:t>
      </w:r>
    </w:p>
    <w:p>
      <w:pPr>
        <w:keepNext w:val="0"/>
        <w:spacing w:before="0" w:after="240" w:line="269" w:lineRule="auto"/>
      </w:pPr>
      <w:r>
        <w:rPr>
          <w:rFonts w:ascii="Arial" w:hAnsi="Arial"/>
          <w:b w:val="0"/>
          <w:color w:val="646464"/>
          <w:sz w:val="17"/>
        </w:rPr>
        <w:t>GHT-SVC-038   •   Revision 1.0   •   06 September 2026   •   1 / 3</w:t>
      </w:r>
    </w:p>
    <w:p>
      <w:pPr>
        <w:keepNext w:val="0"/>
        <w:spacing w:before="0" w:after="180" w:line="269" w:lineRule="auto"/>
      </w:pPr>
      <w:r>
        <w:rPr>
          <w:rFonts w:ascii="Arial" w:hAnsi="Arial"/>
          <w:b w:val="0"/>
          <w:color w:val="181818"/>
          <w:sz w:val="22"/>
        </w:rPr>
        <w:t>Select, stage, connect, and validate handheld computers, scanning devices, charging equipment, and label printers for an agreed business workflow.</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Named devices that run the intended application, capture the correct records, connect in the required work areas, and have a repeatable setup and support process.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The service brings together the handheld model, scan engine, operating system, application, connectivity, device management, charging, batteries, and accessories. The design follows the barcode, working distance, environment, shift, and task.</w:t>
      </w:r>
    </w:p>
    <w:p>
      <w:pPr>
        <w:keepNext w:val="0"/>
        <w:spacing w:before="0" w:after="120" w:line="269" w:lineRule="auto"/>
      </w:pPr>
      <w:r>
        <w:rPr>
          <w:rFonts w:ascii="Arial" w:hAnsi="Arial"/>
          <w:b w:val="0"/>
          <w:color w:val="181818"/>
          <w:sz w:val="20"/>
        </w:rPr>
        <w:t>Zebra retail and warehouse devices are configured for the selected customer application. A scanner does not establish inventory accuracy by itself; identifiers, quantities, locations, duplicate handling, and transaction reconciliation must be defined with the application owner.</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Capture</w:t>
            </w:r>
          </w:p>
        </w:tc>
        <w:tc>
          <w:tcPr>
            <w:tcW w:type="dxa" w:w="7200"/>
            <w:shd w:fill="F4F1E9"/>
          </w:tcPr>
          <w:p>
            <w:pPr>
              <w:spacing w:before="100" w:after="100"/>
            </w:pPr>
            <w:r>
              <w:rPr>
                <w:rFonts w:ascii="Arial" w:hAnsi="Arial"/>
                <w:sz w:val="18"/>
              </w:rPr>
              <w:t>Barcode type, range, scan engine, keypad or touchscreen, and trigger</w:t>
            </w:r>
          </w:p>
        </w:tc>
      </w:tr>
      <w:tr>
        <w:tc>
          <w:tcPr>
            <w:tcW w:type="dxa" w:w="2160"/>
            <w:shd w:fill="FFFFFF"/>
          </w:tcPr>
          <w:p>
            <w:pPr>
              <w:spacing w:before="100" w:after="100"/>
            </w:pPr>
            <w:r>
              <w:rPr>
                <w:rFonts w:ascii="Arial" w:hAnsi="Arial"/>
                <w:b/>
                <w:sz w:val="18"/>
              </w:rPr>
              <w:t>02  Connect</w:t>
            </w:r>
          </w:p>
        </w:tc>
        <w:tc>
          <w:tcPr>
            <w:tcW w:type="dxa" w:w="7200"/>
            <w:shd w:fill="FFFFFF"/>
          </w:tcPr>
          <w:p>
            <w:pPr>
              <w:spacing w:before="100" w:after="100"/>
            </w:pPr>
            <w:r>
              <w:rPr>
                <w:rFonts w:ascii="Arial" w:hAnsi="Arial"/>
                <w:sz w:val="18"/>
              </w:rPr>
              <w:t>Business Wi-Fi, approved cellular service, and application endpoints</w:t>
            </w:r>
          </w:p>
        </w:tc>
      </w:tr>
      <w:tr>
        <w:tc>
          <w:tcPr>
            <w:tcW w:type="dxa" w:w="2160"/>
            <w:shd w:fill="F4F1E9"/>
          </w:tcPr>
          <w:p>
            <w:pPr>
              <w:spacing w:before="100" w:after="100"/>
            </w:pPr>
            <w:r>
              <w:rPr>
                <w:rFonts w:ascii="Arial" w:hAnsi="Arial"/>
                <w:b/>
                <w:sz w:val="18"/>
              </w:rPr>
              <w:t>03  Manage</w:t>
            </w:r>
          </w:p>
        </w:tc>
        <w:tc>
          <w:tcPr>
            <w:tcW w:type="dxa" w:w="7200"/>
            <w:shd w:fill="F4F1E9"/>
          </w:tcPr>
          <w:p>
            <w:pPr>
              <w:spacing w:before="100" w:after="100"/>
            </w:pPr>
            <w:r>
              <w:rPr>
                <w:rFonts w:ascii="Arial" w:hAnsi="Arial"/>
                <w:sz w:val="18"/>
              </w:rPr>
              <w:t>Enrollment, profiles, application deployment, updates, and device inventory</w:t>
            </w:r>
          </w:p>
        </w:tc>
      </w:tr>
      <w:tr>
        <w:tc>
          <w:tcPr>
            <w:tcW w:type="dxa" w:w="2160"/>
            <w:shd w:fill="FFFFFF"/>
          </w:tcPr>
          <w:p>
            <w:pPr>
              <w:spacing w:before="100" w:after="100"/>
            </w:pPr>
            <w:r>
              <w:rPr>
                <w:rFonts w:ascii="Arial" w:hAnsi="Arial"/>
                <w:b/>
                <w:sz w:val="18"/>
              </w:rPr>
              <w:t>04  Operate</w:t>
            </w:r>
          </w:p>
        </w:tc>
        <w:tc>
          <w:tcPr>
            <w:tcW w:type="dxa" w:w="7200"/>
            <w:shd w:fill="FFFFFF"/>
          </w:tcPr>
          <w:p>
            <w:pPr>
              <w:spacing w:before="100" w:after="100"/>
            </w:pPr>
            <w:r>
              <w:rPr>
                <w:rFonts w:ascii="Arial" w:hAnsi="Arial"/>
                <w:sz w:val="18"/>
              </w:rPr>
              <w:t>Charging, spare batteries, labels, operator training, and replacement process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Staff need to scan receiving, picking, counts, or asset movements</w:t>
      </w:r>
    </w:p>
    <w:p>
      <w:pPr>
        <w:keepNext w:val="0"/>
        <w:spacing w:before="0" w:after="100" w:line="269" w:lineRule="auto"/>
        <w:ind w:left="187" w:hanging="187"/>
      </w:pPr>
      <w:r>
        <w:rPr>
          <w:rFonts w:ascii="Arial" w:hAnsi="Arial"/>
          <w:b w:val="0"/>
          <w:color w:val="181818"/>
          <w:sz w:val="20"/>
        </w:rPr>
        <w:t>•  Handhelds need a consistent configuration and application rollout</w:t>
      </w:r>
    </w:p>
    <w:p>
      <w:pPr>
        <w:keepNext w:val="0"/>
        <w:spacing w:before="0" w:after="100" w:line="269" w:lineRule="auto"/>
        <w:ind w:left="187" w:hanging="187"/>
      </w:pPr>
      <w:r>
        <w:rPr>
          <w:rFonts w:ascii="Arial" w:hAnsi="Arial"/>
          <w:b w:val="0"/>
          <w:color w:val="181818"/>
          <w:sz w:val="20"/>
        </w:rPr>
        <w:t>•  A new device fleet needs charging, labeling, training, and support</w:t>
      </w:r>
    </w:p>
    <w:p>
      <w:r>
        <w:br w:type="page"/>
      </w:r>
    </w:p>
    <w:p>
      <w:pPr>
        <w:keepNext/>
        <w:spacing w:before="1200" w:after="160" w:line="269" w:lineRule="auto"/>
      </w:pPr>
      <w:r>
        <w:rPr>
          <w:rFonts w:ascii="Arial" w:hAnsi="Arial"/>
          <w:b/>
          <w:color w:val="9B792B"/>
          <w:sz w:val="18"/>
        </w:rPr>
        <w:t>GHT-SVC-038 / HANDHELD AND BUSINESS DEVICE DEPLOYMENT</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Observe the task</w:t>
      </w:r>
    </w:p>
    <w:p>
      <w:pPr>
        <w:keepNext w:val="0"/>
        <w:spacing w:before="0" w:after="80" w:line="269" w:lineRule="auto"/>
      </w:pPr>
      <w:r>
        <w:rPr>
          <w:rFonts w:ascii="Arial" w:hAnsi="Arial"/>
          <w:b w:val="0"/>
          <w:color w:val="181818"/>
          <w:sz w:val="20"/>
        </w:rPr>
        <w:t>Record scan targets, labels, work areas, distances, shift duration, ergonomics, and current application behavior.</w:t>
      </w:r>
    </w:p>
    <w:p>
      <w:pPr>
        <w:keepNext w:val="0"/>
        <w:spacing w:before="0" w:after="140" w:line="269" w:lineRule="auto"/>
      </w:pPr>
      <w:r>
        <w:rPr>
          <w:rFonts w:ascii="Arial" w:hAnsi="Arial"/>
          <w:b/>
          <w:color w:val="181818"/>
          <w:sz w:val="18"/>
        </w:rPr>
        <w:t>Acceptance evidence: Workflow, sample barcodes, environment record, and device requirements.</w:t>
      </w:r>
    </w:p>
    <w:p>
      <w:pPr>
        <w:keepNext/>
        <w:spacing w:before="200" w:after="120" w:line="269" w:lineRule="auto"/>
      </w:pPr>
      <w:r>
        <w:rPr>
          <w:rFonts w:ascii="Arial" w:hAnsi="Arial"/>
          <w:b/>
          <w:color w:val="9B792B"/>
          <w:sz w:val="24"/>
        </w:rPr>
        <w:t>02  Specify the full kit</w:t>
      </w:r>
    </w:p>
    <w:p>
      <w:pPr>
        <w:keepNext w:val="0"/>
        <w:spacing w:before="0" w:after="80" w:line="269" w:lineRule="auto"/>
      </w:pPr>
      <w:r>
        <w:rPr>
          <w:rFonts w:ascii="Arial" w:hAnsi="Arial"/>
          <w:b w:val="0"/>
          <w:color w:val="181818"/>
          <w:sz w:val="20"/>
        </w:rPr>
        <w:t>Confirm model, scan engine, radio, batteries, case, cradle, power supply, labels, printer, licenses, and software compatibility.</w:t>
      </w:r>
    </w:p>
    <w:p>
      <w:pPr>
        <w:keepNext w:val="0"/>
        <w:spacing w:before="0" w:after="140" w:line="269" w:lineRule="auto"/>
      </w:pPr>
      <w:r>
        <w:rPr>
          <w:rFonts w:ascii="Arial" w:hAnsi="Arial"/>
          <w:b/>
          <w:color w:val="181818"/>
          <w:sz w:val="18"/>
        </w:rPr>
        <w:t>Acceptance evidence: Configuration-specific device and accessory schedule.</w:t>
      </w:r>
    </w:p>
    <w:p>
      <w:pPr>
        <w:keepNext/>
        <w:spacing w:before="200" w:after="120" w:line="269" w:lineRule="auto"/>
      </w:pPr>
      <w:r>
        <w:rPr>
          <w:rFonts w:ascii="Arial" w:hAnsi="Arial"/>
          <w:b/>
          <w:color w:val="9B792B"/>
          <w:sz w:val="24"/>
        </w:rPr>
        <w:t>03  Stage and pilot</w:t>
      </w:r>
    </w:p>
    <w:p>
      <w:pPr>
        <w:keepNext w:val="0"/>
        <w:spacing w:before="0" w:after="80" w:line="269" w:lineRule="auto"/>
      </w:pPr>
      <w:r>
        <w:rPr>
          <w:rFonts w:ascii="Arial" w:hAnsi="Arial"/>
          <w:b w:val="0"/>
          <w:color w:val="181818"/>
          <w:sz w:val="20"/>
        </w:rPr>
        <w:t>Enroll and configure a controlled pilot, connect the application, map scan input, apply policies, and test charging and printing.</w:t>
      </w:r>
    </w:p>
    <w:p>
      <w:pPr>
        <w:keepNext w:val="0"/>
        <w:spacing w:before="0" w:after="140" w:line="269" w:lineRule="auto"/>
      </w:pPr>
      <w:r>
        <w:rPr>
          <w:rFonts w:ascii="Arial" w:hAnsi="Arial"/>
          <w:b/>
          <w:color w:val="181818"/>
          <w:sz w:val="18"/>
        </w:rPr>
        <w:t>Acceptance evidence: Repeatable staging profile and pilot transaction evidence.</w:t>
      </w:r>
    </w:p>
    <w:p>
      <w:pPr>
        <w:keepNext/>
        <w:spacing w:before="200" w:after="120" w:line="269" w:lineRule="auto"/>
      </w:pPr>
      <w:r>
        <w:rPr>
          <w:rFonts w:ascii="Arial" w:hAnsi="Arial"/>
          <w:b/>
          <w:color w:val="9B792B"/>
          <w:sz w:val="24"/>
        </w:rPr>
        <w:t>04  Roll out and verify</w:t>
      </w:r>
    </w:p>
    <w:p>
      <w:pPr>
        <w:keepNext w:val="0"/>
        <w:spacing w:before="0" w:after="80" w:line="269" w:lineRule="auto"/>
      </w:pPr>
      <w:r>
        <w:rPr>
          <w:rFonts w:ascii="Arial" w:hAnsi="Arial"/>
          <w:b w:val="0"/>
          <w:color w:val="181818"/>
          <w:sz w:val="20"/>
        </w:rPr>
        <w:t>Deploy approved profiles, validate coverage and task completion, test disconnect and resynchronization behavior, and train staff.</w:t>
      </w:r>
    </w:p>
    <w:p>
      <w:pPr>
        <w:keepNext w:val="0"/>
        <w:spacing w:before="0" w:after="140" w:line="269" w:lineRule="auto"/>
      </w:pPr>
      <w:r>
        <w:rPr>
          <w:rFonts w:ascii="Arial" w:hAnsi="Arial"/>
          <w:b/>
          <w:color w:val="181818"/>
          <w:sz w:val="18"/>
        </w:rPr>
        <w:t>Acceptance evidence: Device inventory, accepted scan/print tests, operator guide, and support handoff.</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Device and accessory bill of materials</w:t>
      </w:r>
    </w:p>
    <w:p>
      <w:pPr>
        <w:keepNext w:val="0"/>
        <w:spacing w:before="0" w:after="100" w:line="269" w:lineRule="auto"/>
        <w:ind w:left="187" w:hanging="187"/>
      </w:pPr>
      <w:r>
        <w:rPr>
          <w:rFonts w:ascii="Arial" w:hAnsi="Arial"/>
          <w:b w:val="0"/>
          <w:color w:val="181818"/>
          <w:sz w:val="20"/>
        </w:rPr>
        <w:t>•  Staging and management configuration record</w:t>
      </w:r>
    </w:p>
    <w:p>
      <w:pPr>
        <w:keepNext w:val="0"/>
        <w:spacing w:before="0" w:after="100" w:line="269" w:lineRule="auto"/>
        <w:ind w:left="187" w:hanging="187"/>
      </w:pPr>
      <w:r>
        <w:rPr>
          <w:rFonts w:ascii="Arial" w:hAnsi="Arial"/>
          <w:b w:val="0"/>
          <w:color w:val="181818"/>
          <w:sz w:val="20"/>
        </w:rPr>
        <w:t>•  Tested application, scanning, connectivity, and printing workflow</w:t>
      </w:r>
    </w:p>
    <w:p>
      <w:pPr>
        <w:keepNext w:val="0"/>
        <w:spacing w:before="0" w:after="100" w:line="269" w:lineRule="auto"/>
        <w:ind w:left="187" w:hanging="187"/>
      </w:pPr>
      <w:r>
        <w:rPr>
          <w:rFonts w:ascii="Arial" w:hAnsi="Arial"/>
          <w:b w:val="0"/>
          <w:color w:val="181818"/>
          <w:sz w:val="20"/>
        </w:rPr>
        <w:t>•  Asset inventory and charging/replacement procedure</w:t>
      </w:r>
    </w:p>
    <w:p>
      <w:pPr>
        <w:keepNext w:val="0"/>
        <w:spacing w:before="0" w:after="100" w:line="269" w:lineRule="auto"/>
        <w:ind w:left="187" w:hanging="187"/>
      </w:pPr>
      <w:r>
        <w:rPr>
          <w:rFonts w:ascii="Arial" w:hAnsi="Arial"/>
          <w:b w:val="0"/>
          <w:color w:val="181818"/>
          <w:sz w:val="20"/>
        </w:rPr>
        <w:t>•  Operator training and acceptance results</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GHT-SVC-038 / HANDHELD AND BUSINESS DEVICE DEPLOYMENT</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Application, Android support, login, and enrollment requirements</w:t>
      </w:r>
    </w:p>
    <w:p>
      <w:pPr>
        <w:keepNext w:val="0"/>
        <w:spacing w:before="0" w:after="100" w:line="269" w:lineRule="auto"/>
        <w:ind w:left="187" w:hanging="187"/>
      </w:pPr>
      <w:r>
        <w:rPr>
          <w:rFonts w:ascii="Arial" w:hAnsi="Arial"/>
          <w:b w:val="0"/>
          <w:color w:val="181818"/>
          <w:sz w:val="20"/>
        </w:rPr>
        <w:t>•  Barcode formats, scan distance, label samples, and environmental conditions</w:t>
      </w:r>
    </w:p>
    <w:p>
      <w:pPr>
        <w:keepNext w:val="0"/>
        <w:spacing w:before="0" w:after="100" w:line="269" w:lineRule="auto"/>
        <w:ind w:left="187" w:hanging="187"/>
      </w:pPr>
      <w:r>
        <w:rPr>
          <w:rFonts w:ascii="Arial" w:hAnsi="Arial"/>
          <w:b w:val="0"/>
          <w:color w:val="181818"/>
          <w:sz w:val="20"/>
        </w:rPr>
        <w:t>•  Device quantity, shifts, spare policy, and charging locations</w:t>
      </w:r>
    </w:p>
    <w:p>
      <w:pPr>
        <w:keepNext w:val="0"/>
        <w:spacing w:before="0" w:after="100" w:line="269" w:lineRule="auto"/>
        <w:ind w:left="187" w:hanging="187"/>
      </w:pPr>
      <w:r>
        <w:rPr>
          <w:rFonts w:ascii="Arial" w:hAnsi="Arial"/>
          <w:b w:val="0"/>
          <w:color w:val="181818"/>
          <w:sz w:val="20"/>
        </w:rPr>
        <w:t>•  Wi-Fi coverage and any cellular carrier and plan requirements</w:t>
      </w:r>
    </w:p>
    <w:p>
      <w:pPr>
        <w:keepNext w:val="0"/>
        <w:spacing w:before="0" w:after="100" w:line="269" w:lineRule="auto"/>
        <w:ind w:left="187" w:hanging="187"/>
      </w:pPr>
      <w:r>
        <w:rPr>
          <w:rFonts w:ascii="Arial" w:hAnsi="Arial"/>
          <w:b w:val="0"/>
          <w:color w:val="181818"/>
          <w:sz w:val="20"/>
        </w:rPr>
        <w:t>•  Exact cradles, power supplies, cables, batteries, protective accessories, and software licenses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TC22/TC27, TC53e/TC58e, and MC3400/MC3450 are distinct configurable families; scan engines, radios, and accessories must match the selected orderable parts.</w:t>
      </w:r>
    </w:p>
    <w:p>
      <w:pPr>
        <w:keepNext w:val="0"/>
        <w:spacing w:before="0" w:after="100" w:line="269" w:lineRule="auto"/>
        <w:ind w:left="187" w:hanging="187"/>
      </w:pPr>
      <w:r>
        <w:rPr>
          <w:rFonts w:ascii="Arial" w:hAnsi="Arial"/>
          <w:b w:val="0"/>
          <w:color w:val="181818"/>
          <w:sz w:val="20"/>
        </w:rPr>
        <w:t>•  Charging cradles may require separate power supplies and cables; a boot-compatible cradle is not interchangeable with every bare-device cradle.</w:t>
      </w:r>
    </w:p>
    <w:p>
      <w:pPr>
        <w:keepNext w:val="0"/>
        <w:spacing w:before="0" w:after="100" w:line="269" w:lineRule="auto"/>
        <w:ind w:left="187" w:hanging="187"/>
      </w:pPr>
      <w:r>
        <w:rPr>
          <w:rFonts w:ascii="Arial" w:hAnsi="Arial"/>
          <w:b w:val="0"/>
          <w:color w:val="181818"/>
          <w:sz w:val="20"/>
        </w:rPr>
        <w:t>•  Mobile device management, cellular plans, Zebra software features, and support contracts are separately scoped when required.</w:t>
      </w:r>
    </w:p>
    <w:p>
      <w:pPr>
        <w:keepNext w:val="0"/>
        <w:spacing w:before="0" w:after="100" w:line="269" w:lineRule="auto"/>
        <w:ind w:left="187" w:hanging="187"/>
      </w:pPr>
      <w:r>
        <w:rPr>
          <w:rFonts w:ascii="Arial" w:hAnsi="Arial"/>
          <w:b w:val="0"/>
          <w:color w:val="181818"/>
          <w:sz w:val="20"/>
        </w:rPr>
        <w:t>•  Application development, inventory data cleanup, and a building-wide Wi-Fi redesign are included only when named in the project scope.</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Zebra — StageNow device staging</w:t>
        </w:r>
      </w:hyperlink>
      <w:r>
        <w:rPr>
          <w:sz w:val="16"/>
        </w:rPr>
        <w:t xml:space="preserve">  |  Source review: 2026-09-06</w:t>
      </w:r>
    </w:p>
    <w:p>
      <w:pPr>
        <w:keepNext w:val="0"/>
        <w:spacing w:before="0" w:after="140" w:line="269" w:lineRule="auto"/>
      </w:pPr>
      <w:r>
        <w:rPr>
          <w:rFonts w:ascii="Arial" w:hAnsi="Arial"/>
          <w:b w:val="0"/>
          <w:color w:val="181818"/>
          <w:sz w:val="17"/>
        </w:rPr>
      </w:r>
      <w:hyperlink r:id="rId13">
        <w:r>
          <w:rPr>
            <w:color w:val="9B792B"/>
          </w:rPr>
          <w:t>Zebra — About DataWedge</w:t>
        </w:r>
      </w:hyperlink>
      <w:r>
        <w:rPr>
          <w:sz w:val="16"/>
        </w:rPr>
        <w:t xml:space="preserve">  |  Source review: 2026-09-06</w:t>
      </w:r>
    </w:p>
    <w:p>
      <w:pPr>
        <w:keepNext w:val="0"/>
        <w:spacing w:before="0" w:after="140" w:line="269" w:lineRule="auto"/>
      </w:pPr>
      <w:r>
        <w:rPr>
          <w:rFonts w:ascii="Arial" w:hAnsi="Arial"/>
          <w:b w:val="0"/>
          <w:color w:val="181818"/>
          <w:sz w:val="17"/>
        </w:rPr>
      </w:r>
      <w:hyperlink r:id="rId14">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echdocs.zebra.com/stagenow/latest/stageclient/" TargetMode="External"/><Relationship Id="rId13" Type="http://schemas.openxmlformats.org/officeDocument/2006/relationships/hyperlink" Target="https://techdocs.zebra.com/datawedge/latest/guide/about/" TargetMode="External"/><Relationship Id="rId14" Type="http://schemas.openxmlformats.org/officeDocument/2006/relationships/hyperlink" Target="https://ght.network/business-solu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Handheld and business device deployment — Service specification</dc:title>
  <dc:subject>Select, stage, connect, and validate handheld computers, scanning devices, charging equipment, and label printers for an agreed business workflow.</dc:subject>
  <dc:creator>Glass House Technologies</dc:creator>
  <cp:keywords>Business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