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Inside-plant fiber backbones</w:t>
      </w:r>
    </w:p>
    <w:p>
      <w:pPr>
        <w:keepNext w:val="0"/>
        <w:spacing w:before="0" w:after="240" w:line="269" w:lineRule="auto"/>
      </w:pPr>
      <w:r>
        <w:rPr>
          <w:rFonts w:ascii="Arial" w:hAnsi="Arial"/>
          <w:b w:val="0"/>
          <w:color w:val="646464"/>
          <w:sz w:val="17"/>
        </w:rPr>
        <w:t>GHT-SVC-006   •   Revision 1.0   •   06 September 2026   •   1 / 3</w:t>
      </w:r>
    </w:p>
    <w:p>
      <w:pPr>
        <w:keepNext w:val="0"/>
        <w:spacing w:before="0" w:after="180" w:line="269" w:lineRule="auto"/>
      </w:pPr>
      <w:r>
        <w:rPr>
          <w:rFonts w:ascii="Arial" w:hAnsi="Arial"/>
          <w:b w:val="0"/>
          <w:color w:val="181818"/>
          <w:sz w:val="22"/>
        </w:rPr>
        <w:t>Selected fiber types, connectors, polarity, panels, pathways, and terminations carry high-capacity links through the building.</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protected, polarity-correct backbone with labeled strands, clean terminations, insertion-loss results, and an as-built route.</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Inside-plant fiber must match the installed environment and optical application. Fiber type, connector interface, polarity, panel density and transitions are designed as a link rather than chosen independently.</w:t>
      </w:r>
    </w:p>
    <w:p>
      <w:pPr>
        <w:keepNext w:val="0"/>
        <w:spacing w:before="0" w:after="120" w:line="269" w:lineRule="auto"/>
      </w:pPr>
      <w:r>
        <w:rPr>
          <w:rFonts w:ascii="Arial" w:hAnsi="Arial"/>
          <w:b w:val="0"/>
          <w:color w:val="181818"/>
          <w:sz w:val="20"/>
        </w:rPr>
        <w:t>Preterminated assemblies can reduce field termination work in suitable pathways; field-spliced constructions can fit long, irregular or high-count routes. The right method depends on pathway access, pulling risk, density, schedule and repair strategy.</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Optical interface</w:t>
            </w:r>
          </w:p>
        </w:tc>
        <w:tc>
          <w:tcPr>
            <w:tcW w:type="dxa" w:w="7200"/>
            <w:shd w:fill="F4F1E9"/>
          </w:tcPr>
          <w:p>
            <w:pPr>
              <w:spacing w:before="100" w:after="100"/>
            </w:pPr>
            <w:r>
              <w:rPr>
                <w:rFonts w:ascii="Arial" w:hAnsi="Arial"/>
                <w:sz w:val="18"/>
              </w:rPr>
              <w:t>Transceiver type, wavelength and supported reach</w:t>
            </w:r>
          </w:p>
        </w:tc>
      </w:tr>
      <w:tr>
        <w:tc>
          <w:tcPr>
            <w:tcW w:type="dxa" w:w="2160"/>
            <w:shd w:fill="FFFFFF"/>
          </w:tcPr>
          <w:p>
            <w:pPr>
              <w:spacing w:before="100" w:after="100"/>
            </w:pPr>
            <w:r>
              <w:rPr>
                <w:rFonts w:ascii="Arial" w:hAnsi="Arial"/>
                <w:b/>
                <w:sz w:val="18"/>
              </w:rPr>
              <w:t>02  Patch field</w:t>
            </w:r>
          </w:p>
        </w:tc>
        <w:tc>
          <w:tcPr>
            <w:tcW w:type="dxa" w:w="7200"/>
            <w:shd w:fill="FFFFFF"/>
          </w:tcPr>
          <w:p>
            <w:pPr>
              <w:spacing w:before="100" w:after="100"/>
            </w:pPr>
            <w:r>
              <w:rPr>
                <w:rFonts w:ascii="Arial" w:hAnsi="Arial"/>
                <w:sz w:val="18"/>
              </w:rPr>
              <w:t>Connector interface, polarity and panel density</w:t>
            </w:r>
          </w:p>
        </w:tc>
      </w:tr>
      <w:tr>
        <w:tc>
          <w:tcPr>
            <w:tcW w:type="dxa" w:w="2160"/>
            <w:shd w:fill="F4F1E9"/>
          </w:tcPr>
          <w:p>
            <w:pPr>
              <w:spacing w:before="100" w:after="100"/>
            </w:pPr>
            <w:r>
              <w:rPr>
                <w:rFonts w:ascii="Arial" w:hAnsi="Arial"/>
                <w:b/>
                <w:sz w:val="18"/>
              </w:rPr>
              <w:t>03  Backbone cable</w:t>
            </w:r>
          </w:p>
        </w:tc>
        <w:tc>
          <w:tcPr>
            <w:tcW w:type="dxa" w:w="7200"/>
            <w:shd w:fill="F4F1E9"/>
          </w:tcPr>
          <w:p>
            <w:pPr>
              <w:spacing w:before="100" w:after="100"/>
            </w:pPr>
            <w:r>
              <w:rPr>
                <w:rFonts w:ascii="Arial" w:hAnsi="Arial"/>
                <w:sz w:val="18"/>
              </w:rPr>
              <w:t>Rated construction and fiber type through the building pathway</w:t>
            </w:r>
          </w:p>
        </w:tc>
      </w:tr>
      <w:tr>
        <w:tc>
          <w:tcPr>
            <w:tcW w:type="dxa" w:w="2160"/>
            <w:shd w:fill="FFFFFF"/>
          </w:tcPr>
          <w:p>
            <w:pPr>
              <w:spacing w:before="100" w:after="100"/>
            </w:pPr>
            <w:r>
              <w:rPr>
                <w:rFonts w:ascii="Arial" w:hAnsi="Arial"/>
                <w:b/>
                <w:sz w:val="18"/>
              </w:rPr>
              <w:t>04  Remote room</w:t>
            </w:r>
          </w:p>
        </w:tc>
        <w:tc>
          <w:tcPr>
            <w:tcW w:type="dxa" w:w="7200"/>
            <w:shd w:fill="FFFFFF"/>
          </w:tcPr>
          <w:p>
            <w:pPr>
              <w:spacing w:before="100" w:after="100"/>
            </w:pPr>
            <w:r>
              <w:rPr>
                <w:rFonts w:ascii="Arial" w:hAnsi="Arial"/>
                <w:sz w:val="18"/>
              </w:rPr>
              <w:t>Labeled termination and corresponding active equipment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Copper backbone distance or bandwidth is limiting service</w:t>
      </w:r>
    </w:p>
    <w:p>
      <w:pPr>
        <w:keepNext w:val="0"/>
        <w:spacing w:before="0" w:after="100" w:line="269" w:lineRule="auto"/>
        <w:ind w:left="187" w:hanging="187"/>
      </w:pPr>
      <w:r>
        <w:rPr>
          <w:rFonts w:ascii="Arial" w:hAnsi="Arial"/>
          <w:b w:val="0"/>
          <w:color w:val="181818"/>
          <w:sz w:val="20"/>
        </w:rPr>
        <w:t>•  Telecommunications rooms need higher-capacity uplinks</w:t>
      </w:r>
    </w:p>
    <w:p>
      <w:pPr>
        <w:keepNext w:val="0"/>
        <w:spacing w:before="0" w:after="100" w:line="269" w:lineRule="auto"/>
        <w:ind w:left="187" w:hanging="187"/>
      </w:pPr>
      <w:r>
        <w:rPr>
          <w:rFonts w:ascii="Arial" w:hAnsi="Arial"/>
          <w:b w:val="0"/>
          <w:color w:val="181818"/>
          <w:sz w:val="20"/>
        </w:rPr>
        <w:t>•  A building refresh changes optical interfaces or density</w:t>
      </w:r>
    </w:p>
    <w:p>
      <w:pPr>
        <w:keepNext w:val="0"/>
        <w:spacing w:before="0" w:after="100" w:line="269" w:lineRule="auto"/>
        <w:ind w:left="187" w:hanging="187"/>
      </w:pPr>
      <w:r>
        <w:rPr>
          <w:rFonts w:ascii="Arial" w:hAnsi="Arial"/>
          <w:b w:val="0"/>
          <w:color w:val="181818"/>
          <w:sz w:val="20"/>
        </w:rPr>
        <w:t>•  Existing strands, polarity or loss are undocumented</w:t>
      </w:r>
    </w:p>
    <w:p>
      <w:r>
        <w:br w:type="page"/>
      </w:r>
    </w:p>
    <w:p>
      <w:pPr>
        <w:keepNext/>
        <w:spacing w:before="1200" w:after="160" w:line="269" w:lineRule="auto"/>
      </w:pPr>
      <w:r>
        <w:rPr>
          <w:rFonts w:ascii="Arial" w:hAnsi="Arial"/>
          <w:b/>
          <w:color w:val="9B792B"/>
          <w:sz w:val="18"/>
        </w:rPr>
        <w:t>GHT-SVC-006 / INSIDE-PLANT FIBER BACKBONES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Link requirements</w:t>
      </w:r>
    </w:p>
    <w:p>
      <w:pPr>
        <w:keepNext w:val="0"/>
        <w:spacing w:before="0" w:after="80" w:line="269" w:lineRule="auto"/>
      </w:pPr>
      <w:r>
        <w:rPr>
          <w:rFonts w:ascii="Arial" w:hAnsi="Arial"/>
          <w:b w:val="0"/>
          <w:color w:val="181818"/>
          <w:sz w:val="20"/>
        </w:rPr>
        <w:t>Confirm optics, data rate, distance, topology, fiber type and available ports.</w:t>
      </w:r>
    </w:p>
    <w:p>
      <w:pPr>
        <w:keepNext w:val="0"/>
        <w:spacing w:before="0" w:after="140" w:line="269" w:lineRule="auto"/>
      </w:pPr>
      <w:r>
        <w:rPr>
          <w:rFonts w:ascii="Arial" w:hAnsi="Arial"/>
          <w:b/>
          <w:color w:val="181818"/>
          <w:sz w:val="18"/>
        </w:rPr>
        <w:t>Acceptance evidence: Link schedule and optical-interface matrix</w:t>
      </w:r>
    </w:p>
    <w:p>
      <w:pPr>
        <w:keepNext/>
        <w:spacing w:before="200" w:after="120" w:line="269" w:lineRule="auto"/>
      </w:pPr>
      <w:r>
        <w:rPr>
          <w:rFonts w:ascii="Arial" w:hAnsi="Arial"/>
          <w:b/>
          <w:color w:val="9B792B"/>
          <w:sz w:val="24"/>
        </w:rPr>
        <w:t>02  Cable-plant design</w:t>
      </w:r>
    </w:p>
    <w:p>
      <w:pPr>
        <w:keepNext w:val="0"/>
        <w:spacing w:before="0" w:after="80" w:line="269" w:lineRule="auto"/>
      </w:pPr>
      <w:r>
        <w:rPr>
          <w:rFonts w:ascii="Arial" w:hAnsi="Arial"/>
          <w:b w:val="0"/>
          <w:color w:val="181818"/>
          <w:sz w:val="20"/>
        </w:rPr>
        <w:t>Define pathway, construction, connectors, polarity, panels, strand count and loss budget.</w:t>
      </w:r>
    </w:p>
    <w:p>
      <w:pPr>
        <w:keepNext w:val="0"/>
        <w:spacing w:before="0" w:after="140" w:line="269" w:lineRule="auto"/>
      </w:pPr>
      <w:r>
        <w:rPr>
          <w:rFonts w:ascii="Arial" w:hAnsi="Arial"/>
          <w:b/>
          <w:color w:val="181818"/>
          <w:sz w:val="18"/>
        </w:rPr>
        <w:t>Acceptance evidence: Fiber allocation, panel elevation and calculated loss budget</w:t>
      </w:r>
    </w:p>
    <w:p>
      <w:pPr>
        <w:keepNext/>
        <w:spacing w:before="200" w:after="120" w:line="269" w:lineRule="auto"/>
      </w:pPr>
      <w:r>
        <w:rPr>
          <w:rFonts w:ascii="Arial" w:hAnsi="Arial"/>
          <w:b/>
          <w:color w:val="9B792B"/>
          <w:sz w:val="24"/>
        </w:rPr>
        <w:t>03  Place and terminate</w:t>
      </w:r>
    </w:p>
    <w:p>
      <w:pPr>
        <w:keepNext w:val="0"/>
        <w:spacing w:before="0" w:after="80" w:line="269" w:lineRule="auto"/>
      </w:pPr>
      <w:r>
        <w:rPr>
          <w:rFonts w:ascii="Arial" w:hAnsi="Arial"/>
          <w:b w:val="0"/>
          <w:color w:val="181818"/>
          <w:sz w:val="20"/>
        </w:rPr>
        <w:t>Protect the cable through pulls and transitions, then splice or connect into labeled panels.</w:t>
      </w:r>
    </w:p>
    <w:p>
      <w:pPr>
        <w:keepNext w:val="0"/>
        <w:spacing w:before="0" w:after="140" w:line="269" w:lineRule="auto"/>
      </w:pPr>
      <w:r>
        <w:rPr>
          <w:rFonts w:ascii="Arial" w:hAnsi="Arial"/>
          <w:b/>
          <w:color w:val="181818"/>
          <w:sz w:val="18"/>
        </w:rPr>
        <w:t>Acceptance evidence: Installation photos, termination map and splice record</w:t>
      </w:r>
    </w:p>
    <w:p>
      <w:pPr>
        <w:keepNext/>
        <w:spacing w:before="200" w:after="120" w:line="269" w:lineRule="auto"/>
      </w:pPr>
      <w:r>
        <w:rPr>
          <w:rFonts w:ascii="Arial" w:hAnsi="Arial"/>
          <w:b/>
          <w:color w:val="9B792B"/>
          <w:sz w:val="24"/>
        </w:rPr>
        <w:t>04  Test and activate</w:t>
      </w:r>
    </w:p>
    <w:p>
      <w:pPr>
        <w:keepNext w:val="0"/>
        <w:spacing w:before="0" w:after="80" w:line="269" w:lineRule="auto"/>
      </w:pPr>
      <w:r>
        <w:rPr>
          <w:rFonts w:ascii="Arial" w:hAnsi="Arial"/>
          <w:b w:val="0"/>
          <w:color w:val="181818"/>
          <w:sz w:val="20"/>
        </w:rPr>
        <w:t>Inspect/clean connectors, verify polarity and loss, then correlate strands to active links.</w:t>
      </w:r>
    </w:p>
    <w:p>
      <w:pPr>
        <w:keepNext w:val="0"/>
        <w:spacing w:before="0" w:after="140" w:line="269" w:lineRule="auto"/>
      </w:pPr>
      <w:r>
        <w:rPr>
          <w:rFonts w:ascii="Arial" w:hAnsi="Arial"/>
          <w:b/>
          <w:color w:val="181818"/>
          <w:sz w:val="18"/>
        </w:rPr>
        <w:t>Acceptance evidence: Inspection/cleaning log, OLTS results and final strand schedule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Optical link and strand schedule</w:t>
      </w:r>
    </w:p>
    <w:p>
      <w:pPr>
        <w:keepNext w:val="0"/>
        <w:spacing w:before="0" w:after="100" w:line="269" w:lineRule="auto"/>
        <w:ind w:left="187" w:hanging="187"/>
      </w:pPr>
      <w:r>
        <w:rPr>
          <w:rFonts w:ascii="Arial" w:hAnsi="Arial"/>
          <w:b w:val="0"/>
          <w:color w:val="181818"/>
          <w:sz w:val="20"/>
        </w:rPr>
        <w:t>•  Panel and connector map</w:t>
      </w:r>
    </w:p>
    <w:p>
      <w:pPr>
        <w:keepNext w:val="0"/>
        <w:spacing w:before="0" w:after="100" w:line="269" w:lineRule="auto"/>
        <w:ind w:left="187" w:hanging="187"/>
      </w:pPr>
      <w:r>
        <w:rPr>
          <w:rFonts w:ascii="Arial" w:hAnsi="Arial"/>
          <w:b w:val="0"/>
          <w:color w:val="181818"/>
          <w:sz w:val="20"/>
        </w:rPr>
        <w:t>•  Calculated link-loss budget</w:t>
      </w:r>
    </w:p>
    <w:p>
      <w:pPr>
        <w:keepNext w:val="0"/>
        <w:spacing w:before="0" w:after="100" w:line="269" w:lineRule="auto"/>
        <w:ind w:left="187" w:hanging="187"/>
      </w:pPr>
      <w:r>
        <w:rPr>
          <w:rFonts w:ascii="Arial" w:hAnsi="Arial"/>
          <w:b w:val="0"/>
          <w:color w:val="181818"/>
          <w:sz w:val="20"/>
        </w:rPr>
        <w:t>•  Inspection, polarity and insertion-loss results</w:t>
      </w:r>
    </w:p>
    <w:p>
      <w:pPr>
        <w:keepNext w:val="0"/>
        <w:spacing w:before="0" w:after="100" w:line="269" w:lineRule="auto"/>
        <w:ind w:left="187" w:hanging="187"/>
      </w:pPr>
      <w:r>
        <w:rPr>
          <w:rFonts w:ascii="Arial" w:hAnsi="Arial"/>
          <w:b w:val="0"/>
          <w:color w:val="181818"/>
          <w:sz w:val="20"/>
        </w:rPr>
        <w:t>•  As-built route and termination photos</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GHT-SVC-006 / INSIDE-PLANT FIBER BACKBONES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Transceiver type, speed, wavelength and distance</w:t>
      </w:r>
    </w:p>
    <w:p>
      <w:pPr>
        <w:keepNext w:val="0"/>
        <w:spacing w:before="0" w:after="100" w:line="269" w:lineRule="auto"/>
        <w:ind w:left="187" w:hanging="187"/>
      </w:pPr>
      <w:r>
        <w:rPr>
          <w:rFonts w:ascii="Arial" w:hAnsi="Arial"/>
          <w:b w:val="0"/>
          <w:color w:val="181818"/>
          <w:sz w:val="20"/>
        </w:rPr>
        <w:t>•  Existing fiber, panels and connector interfaces</w:t>
      </w:r>
    </w:p>
    <w:p>
      <w:pPr>
        <w:keepNext w:val="0"/>
        <w:spacing w:before="0" w:after="100" w:line="269" w:lineRule="auto"/>
        <w:ind w:left="187" w:hanging="187"/>
      </w:pPr>
      <w:r>
        <w:rPr>
          <w:rFonts w:ascii="Arial" w:hAnsi="Arial"/>
          <w:b w:val="0"/>
          <w:color w:val="181818"/>
          <w:sz w:val="20"/>
        </w:rPr>
        <w:t>•  Pathway length, access and fire-rating transitions</w:t>
      </w:r>
    </w:p>
    <w:p>
      <w:pPr>
        <w:keepNext w:val="0"/>
        <w:spacing w:before="0" w:after="100" w:line="269" w:lineRule="auto"/>
        <w:ind w:left="187" w:hanging="187"/>
      </w:pPr>
      <w:r>
        <w:rPr>
          <w:rFonts w:ascii="Arial" w:hAnsi="Arial"/>
          <w:b w:val="0"/>
          <w:color w:val="181818"/>
          <w:sz w:val="20"/>
        </w:rPr>
        <w:t>•  Strand count, polarity and topology</w:t>
      </w:r>
    </w:p>
    <w:p>
      <w:pPr>
        <w:keepNext w:val="0"/>
        <w:spacing w:before="0" w:after="100" w:line="269" w:lineRule="auto"/>
        <w:ind w:left="187" w:hanging="187"/>
      </w:pPr>
      <w:r>
        <w:rPr>
          <w:rFonts w:ascii="Arial" w:hAnsi="Arial"/>
          <w:b w:val="0"/>
          <w:color w:val="181818"/>
          <w:sz w:val="20"/>
        </w:rPr>
        <w:t>•  Loss-budget and test-format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Optics and fiber compatibility</w:t>
      </w:r>
    </w:p>
    <w:p>
      <w:pPr>
        <w:keepNext w:val="0"/>
        <w:spacing w:before="0" w:after="100" w:line="269" w:lineRule="auto"/>
        <w:ind w:left="187" w:hanging="187"/>
      </w:pPr>
      <w:r>
        <w:rPr>
          <w:rFonts w:ascii="Arial" w:hAnsi="Arial"/>
          <w:b w:val="0"/>
          <w:color w:val="181818"/>
          <w:sz w:val="20"/>
        </w:rPr>
        <w:t>•  Connector cleanliness and inspection access</w:t>
      </w:r>
    </w:p>
    <w:p>
      <w:pPr>
        <w:keepNext w:val="0"/>
        <w:spacing w:before="0" w:after="100" w:line="269" w:lineRule="auto"/>
        <w:ind w:left="187" w:hanging="187"/>
      </w:pPr>
      <w:r>
        <w:rPr>
          <w:rFonts w:ascii="Arial" w:hAnsi="Arial"/>
          <w:b w:val="0"/>
          <w:color w:val="181818"/>
          <w:sz w:val="20"/>
        </w:rPr>
        <w:t>•  Bend radius, pulling method and pathway transitions</w:t>
      </w:r>
    </w:p>
    <w:p>
      <w:pPr>
        <w:keepNext w:val="0"/>
        <w:spacing w:before="0" w:after="100" w:line="269" w:lineRule="auto"/>
        <w:ind w:left="187" w:hanging="187"/>
      </w:pPr>
      <w:r>
        <w:rPr>
          <w:rFonts w:ascii="Arial" w:hAnsi="Arial"/>
          <w:b w:val="0"/>
          <w:color w:val="181818"/>
          <w:sz w:val="20"/>
        </w:rPr>
        <w:t>•  Fire rating and protected building entry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TIA-568: Commercial Building Telecommunications Cabling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Fiber Optic Association — Fiber Optic Network Design</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Fiber Optic Association — FOA-6a: Fiber Optic Cable Plants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IEEE 802.3 Working Group — IEEE 802.3 Ethernet</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568/" TargetMode="External"/><Relationship Id="rId13" Type="http://schemas.openxmlformats.org/officeDocument/2006/relationships/hyperlink" Target="https://www.foa.org/tech/ref/basic/design.html" TargetMode="External"/><Relationship Id="rId14" Type="http://schemas.openxmlformats.org/officeDocument/2006/relationships/hyperlink" Target="https://www.foa.org/tech/ref/1pstandards/FOA-6.pdf" TargetMode="External"/><Relationship Id="rId15" Type="http://schemas.openxmlformats.org/officeDocument/2006/relationships/hyperlink" Target="https://ieee802.org/3/" TargetMode="External"/><Relationship Id="rId16" Type="http://schemas.openxmlformats.org/officeDocument/2006/relationships/hyperlink" Target="https://ght.network/services/physical-infrastructure/inside-plant-fib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Inside-plant fiber backbones — Service specification</dc:title>
  <dc:subject>Selected fiber types, connectors, polarity, panels, pathways, and terminations carry high-capacity links through the building.</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