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Intercom, paging, and mass communication</w:t>
      </w:r>
    </w:p>
    <w:p>
      <w:pPr>
        <w:keepNext w:val="0"/>
        <w:spacing w:before="0" w:after="240" w:line="269" w:lineRule="auto"/>
      </w:pPr>
      <w:r>
        <w:rPr>
          <w:rFonts w:ascii="Arial" w:hAnsi="Arial"/>
          <w:b w:val="0"/>
          <w:color w:val="646464"/>
          <w:sz w:val="17"/>
        </w:rPr>
        <w:t>GHT-SVC-021   •   Revision 1.0   •   06 September 2026   •   1 / 3</w:t>
      </w:r>
    </w:p>
    <w:p>
      <w:pPr>
        <w:keepNext w:val="0"/>
        <w:spacing w:before="0" w:after="180" w:line="269" w:lineRule="auto"/>
      </w:pPr>
      <w:r>
        <w:rPr>
          <w:rFonts w:ascii="Arial" w:hAnsi="Arial"/>
          <w:b w:val="0"/>
          <w:color w:val="181818"/>
          <w:sz w:val="22"/>
        </w:rPr>
        <w:t>Intercom handles two-way calls, paging distributes voice or tones, and mass communication coordinates urgent messages, each with its own coverage, priority, accessibility, and approval requirements.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Named stations and zones with tested calls, audibility or intelligibility, priority behavior, permissions, and operator instructions.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Intercom supports two-way conversations; paging distributes voice or tones to zones; mass communication coordinates urgent messages across one or more channels. A system may provide more than one function, but routine convenience audio should not be assumed to satisfy emergency or life-safety requirements.</w:t>
      </w:r>
    </w:p>
    <w:p>
      <w:pPr>
        <w:keepNext w:val="0"/>
        <w:spacing w:before="0" w:after="120" w:line="269" w:lineRule="auto"/>
      </w:pPr>
      <w:r>
        <w:rPr>
          <w:rFonts w:ascii="Arial" w:hAnsi="Arial"/>
          <w:b w:val="0"/>
          <w:color w:val="181818"/>
          <w:sz w:val="20"/>
        </w:rPr>
        <w:t>Design inputs include ambient noise, acoustics, accessibility, message priority, supervision, network and power resilience, source authority, emergency plans, and interfaces to other systems. Required emergency systems need qualified design and authority review.</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Originate</w:t>
            </w:r>
          </w:p>
        </w:tc>
        <w:tc>
          <w:tcPr>
            <w:tcW w:type="dxa" w:w="7200"/>
            <w:shd w:fill="F4F1E9"/>
          </w:tcPr>
          <w:p>
            <w:pPr>
              <w:spacing w:before="100" w:after="100"/>
            </w:pPr>
            <w:r>
              <w:rPr>
                <w:rFonts w:ascii="Arial" w:hAnsi="Arial"/>
                <w:sz w:val="18"/>
              </w:rPr>
              <w:t>Intercom station, console, handset, software, scheduled or integrated trigger</w:t>
            </w:r>
          </w:p>
        </w:tc>
      </w:tr>
      <w:tr>
        <w:tc>
          <w:tcPr>
            <w:tcW w:type="dxa" w:w="2160"/>
            <w:shd w:fill="FFFFFF"/>
          </w:tcPr>
          <w:p>
            <w:pPr>
              <w:spacing w:before="100" w:after="100"/>
            </w:pPr>
            <w:r>
              <w:rPr>
                <w:rFonts w:ascii="Arial" w:hAnsi="Arial"/>
                <w:b/>
                <w:sz w:val="18"/>
              </w:rPr>
              <w:t>02  Control</w:t>
            </w:r>
          </w:p>
        </w:tc>
        <w:tc>
          <w:tcPr>
            <w:tcW w:type="dxa" w:w="7200"/>
            <w:shd w:fill="FFFFFF"/>
          </w:tcPr>
          <w:p>
            <w:pPr>
              <w:spacing w:before="100" w:after="100"/>
            </w:pPr>
            <w:r>
              <w:rPr>
                <w:rFonts w:ascii="Arial" w:hAnsi="Arial"/>
                <w:sz w:val="18"/>
              </w:rPr>
              <w:t>Permissions, zones, priorities, queues, presets, logging</w:t>
            </w:r>
          </w:p>
        </w:tc>
      </w:tr>
      <w:tr>
        <w:tc>
          <w:tcPr>
            <w:tcW w:type="dxa" w:w="2160"/>
            <w:shd w:fill="F4F1E9"/>
          </w:tcPr>
          <w:p>
            <w:pPr>
              <w:spacing w:before="100" w:after="100"/>
            </w:pPr>
            <w:r>
              <w:rPr>
                <w:rFonts w:ascii="Arial" w:hAnsi="Arial"/>
                <w:b/>
                <w:sz w:val="18"/>
              </w:rPr>
              <w:t>03  Transport</w:t>
            </w:r>
          </w:p>
        </w:tc>
        <w:tc>
          <w:tcPr>
            <w:tcW w:type="dxa" w:w="7200"/>
            <w:shd w:fill="F4F1E9"/>
          </w:tcPr>
          <w:p>
            <w:pPr>
              <w:spacing w:before="100" w:after="100"/>
            </w:pPr>
            <w:r>
              <w:rPr>
                <w:rFonts w:ascii="Arial" w:hAnsi="Arial"/>
                <w:sz w:val="18"/>
              </w:rPr>
              <w:t>IP network, analog circuits, amplifiers, supervised pathways, resilient power</w:t>
            </w:r>
          </w:p>
        </w:tc>
      </w:tr>
      <w:tr>
        <w:tc>
          <w:tcPr>
            <w:tcW w:type="dxa" w:w="2160"/>
            <w:shd w:fill="FFFFFF"/>
          </w:tcPr>
          <w:p>
            <w:pPr>
              <w:spacing w:before="100" w:after="100"/>
            </w:pPr>
            <w:r>
              <w:rPr>
                <w:rFonts w:ascii="Arial" w:hAnsi="Arial"/>
                <w:b/>
                <w:sz w:val="18"/>
              </w:rPr>
              <w:t>04  Receive</w:t>
            </w:r>
          </w:p>
        </w:tc>
        <w:tc>
          <w:tcPr>
            <w:tcW w:type="dxa" w:w="7200"/>
            <w:shd w:fill="FFFFFF"/>
          </w:tcPr>
          <w:p>
            <w:pPr>
              <w:spacing w:before="100" w:after="100"/>
            </w:pPr>
            <w:r>
              <w:rPr>
                <w:rFonts w:ascii="Arial" w:hAnsi="Arial"/>
                <w:sz w:val="18"/>
              </w:rPr>
              <w:t>Speakers, displays, mobile endpoints, visual and audible entry stations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Visitors cannot reliably reach a staffed responder</w:t>
      </w:r>
    </w:p>
    <w:p>
      <w:pPr>
        <w:keepNext w:val="0"/>
        <w:spacing w:before="0" w:after="100" w:line="269" w:lineRule="auto"/>
        <w:ind w:left="187" w:hanging="187"/>
      </w:pPr>
      <w:r>
        <w:rPr>
          <w:rFonts w:ascii="Arial" w:hAnsi="Arial"/>
          <w:b w:val="0"/>
          <w:color w:val="181818"/>
          <w:sz w:val="20"/>
        </w:rPr>
        <w:t>•  Announcements are unintelligible or spill into the wrong zones</w:t>
      </w:r>
    </w:p>
    <w:p>
      <w:pPr>
        <w:keepNext w:val="0"/>
        <w:spacing w:before="0" w:after="100" w:line="269" w:lineRule="auto"/>
        <w:ind w:left="187" w:hanging="187"/>
      </w:pPr>
      <w:r>
        <w:rPr>
          <w:rFonts w:ascii="Arial" w:hAnsi="Arial"/>
          <w:b w:val="0"/>
          <w:color w:val="181818"/>
          <w:sz w:val="20"/>
        </w:rPr>
        <w:t>•  Multiple disconnected notification tools create conflicting messages</w:t>
      </w:r>
    </w:p>
    <w:p>
      <w:pPr>
        <w:keepNext w:val="0"/>
        <w:spacing w:before="0" w:after="100" w:line="269" w:lineRule="auto"/>
        <w:ind w:left="187" w:hanging="187"/>
      </w:pPr>
      <w:r>
        <w:rPr>
          <w:rFonts w:ascii="Arial" w:hAnsi="Arial"/>
          <w:b w:val="0"/>
          <w:color w:val="181818"/>
          <w:sz w:val="20"/>
        </w:rPr>
        <w:t>•  Emergency, operational, and routine priorities have never been exercised</w:t>
      </w:r>
    </w:p>
    <w:p>
      <w:r>
        <w:br w:type="page"/>
      </w:r>
    </w:p>
    <w:p>
      <w:pPr>
        <w:keepNext/>
        <w:spacing w:before="1200" w:after="160" w:line="269" w:lineRule="auto"/>
      </w:pPr>
      <w:r>
        <w:rPr>
          <w:rFonts w:ascii="Arial" w:hAnsi="Arial"/>
          <w:b/>
          <w:color w:val="9B792B"/>
          <w:sz w:val="18"/>
        </w:rPr>
        <w:t>GHT-SVC-021 / INTERCOM, PAGING, AND MASS COMMUNICATION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Map messages and people</w:t>
      </w:r>
    </w:p>
    <w:p>
      <w:pPr>
        <w:keepNext w:val="0"/>
        <w:spacing w:before="0" w:after="80" w:line="269" w:lineRule="auto"/>
      </w:pPr>
      <w:r>
        <w:rPr>
          <w:rFonts w:ascii="Arial" w:hAnsi="Arial"/>
          <w:b w:val="0"/>
          <w:color w:val="181818"/>
          <w:sz w:val="20"/>
        </w:rPr>
        <w:t>Document routine, operational, entry, and emergency messages; originators; target zones; ambient noise; accessibility; priorities; and existing plans.</w:t>
      </w:r>
    </w:p>
    <w:p>
      <w:pPr>
        <w:keepNext w:val="0"/>
        <w:spacing w:before="0" w:after="140" w:line="269" w:lineRule="auto"/>
      </w:pPr>
      <w:r>
        <w:rPr>
          <w:rFonts w:ascii="Arial" w:hAnsi="Arial"/>
          <w:b/>
          <w:color w:val="181818"/>
          <w:sz w:val="18"/>
        </w:rPr>
        <w:t>Acceptance evidence: Message-and-zone matrix with originator roles, priority, target recipients, and site acoustic observations.</w:t>
      </w:r>
    </w:p>
    <w:p>
      <w:pPr>
        <w:keepNext/>
        <w:spacing w:before="200" w:after="120" w:line="269" w:lineRule="auto"/>
      </w:pPr>
      <w:r>
        <w:rPr>
          <w:rFonts w:ascii="Arial" w:hAnsi="Arial"/>
          <w:b/>
          <w:color w:val="9B792B"/>
          <w:sz w:val="24"/>
        </w:rPr>
        <w:t>02  Engineer coverage and control</w:t>
      </w:r>
    </w:p>
    <w:p>
      <w:pPr>
        <w:keepNext w:val="0"/>
        <w:spacing w:before="0" w:after="80" w:line="269" w:lineRule="auto"/>
      </w:pPr>
      <w:r>
        <w:rPr>
          <w:rFonts w:ascii="Arial" w:hAnsi="Arial"/>
          <w:b w:val="0"/>
          <w:color w:val="181818"/>
          <w:sz w:val="20"/>
        </w:rPr>
        <w:t>Select station, speaker, amplifier, network, power, and interface architecture; model zones and escalation; coordinate required emergency systems.</w:t>
      </w:r>
    </w:p>
    <w:p>
      <w:pPr>
        <w:keepNext w:val="0"/>
        <w:spacing w:before="0" w:after="140" w:line="269" w:lineRule="auto"/>
      </w:pPr>
      <w:r>
        <w:rPr>
          <w:rFonts w:ascii="Arial" w:hAnsi="Arial"/>
          <w:b/>
          <w:color w:val="181818"/>
          <w:sz w:val="18"/>
        </w:rPr>
        <w:t>Acceptance evidence: Device and zone plan, load and network calculations, priority table, interface map, and required specialist reviews.</w:t>
      </w:r>
    </w:p>
    <w:p>
      <w:pPr>
        <w:keepNext/>
        <w:spacing w:before="200" w:after="120" w:line="269" w:lineRule="auto"/>
      </w:pPr>
      <w:r>
        <w:rPr>
          <w:rFonts w:ascii="Arial" w:hAnsi="Arial"/>
          <w:b/>
          <w:color w:val="9B792B"/>
          <w:sz w:val="24"/>
        </w:rPr>
        <w:t>03  Install and tune</w:t>
      </w:r>
    </w:p>
    <w:p>
      <w:pPr>
        <w:keepNext w:val="0"/>
        <w:spacing w:before="0" w:after="80" w:line="269" w:lineRule="auto"/>
      </w:pPr>
      <w:r>
        <w:rPr>
          <w:rFonts w:ascii="Arial" w:hAnsi="Arial"/>
          <w:b w:val="0"/>
          <w:color w:val="181818"/>
          <w:sz w:val="20"/>
        </w:rPr>
        <w:t>Install, label, address, configure permissions and presets, balance levels, and set priority and fallback behavior.</w:t>
      </w:r>
    </w:p>
    <w:p>
      <w:pPr>
        <w:keepNext w:val="0"/>
        <w:spacing w:before="0" w:after="140" w:line="269" w:lineRule="auto"/>
      </w:pPr>
      <w:r>
        <w:rPr>
          <w:rFonts w:ascii="Arial" w:hAnsi="Arial"/>
          <w:b/>
          <w:color w:val="181818"/>
          <w:sz w:val="18"/>
        </w:rPr>
        <w:t>Acceptance evidence: Device inventory, labeled endpoints, configuration record, level settings, and installation photos.</w:t>
      </w:r>
    </w:p>
    <w:p>
      <w:pPr>
        <w:keepNext/>
        <w:spacing w:before="200" w:after="120" w:line="269" w:lineRule="auto"/>
      </w:pPr>
      <w:r>
        <w:rPr>
          <w:rFonts w:ascii="Arial" w:hAnsi="Arial"/>
          <w:b/>
          <w:color w:val="9B792B"/>
          <w:sz w:val="24"/>
        </w:rPr>
        <w:t>04  Exercise real scenarios</w:t>
      </w:r>
    </w:p>
    <w:p>
      <w:pPr>
        <w:keepNext w:val="0"/>
        <w:spacing w:before="0" w:after="80" w:line="269" w:lineRule="auto"/>
      </w:pPr>
      <w:r>
        <w:rPr>
          <w:rFonts w:ascii="Arial" w:hAnsi="Arial"/>
          <w:b w:val="0"/>
          <w:color w:val="181818"/>
          <w:sz w:val="20"/>
        </w:rPr>
        <w:t>Test entry calls, routine pages, priority overrides, zone selection, failed endpoints, accessibility features, and approved emergency scenarios.</w:t>
      </w:r>
    </w:p>
    <w:p>
      <w:pPr>
        <w:keepNext w:val="0"/>
        <w:spacing w:before="0" w:after="140" w:line="269" w:lineRule="auto"/>
      </w:pPr>
      <w:r>
        <w:rPr>
          <w:rFonts w:ascii="Arial" w:hAnsi="Arial"/>
          <w:b/>
          <w:color w:val="181818"/>
          <w:sz w:val="18"/>
        </w:rPr>
        <w:t>Acceptance evidence: Scenario acceptance sheets, intelligibility or audibility observations, event logs, quick-start guides, and exception list.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Message, permission, priority, and zone matrix</w:t>
      </w:r>
    </w:p>
    <w:p>
      <w:pPr>
        <w:keepNext w:val="0"/>
        <w:spacing w:before="0" w:after="100" w:line="269" w:lineRule="auto"/>
        <w:ind w:left="187" w:hanging="187"/>
      </w:pPr>
      <w:r>
        <w:rPr>
          <w:rFonts w:ascii="Arial" w:hAnsi="Arial"/>
          <w:b w:val="0"/>
          <w:color w:val="181818"/>
          <w:sz w:val="20"/>
        </w:rPr>
        <w:t>•  Speaker/station plan and infrastructure calculations</w:t>
      </w:r>
    </w:p>
    <w:p>
      <w:pPr>
        <w:keepNext w:val="0"/>
        <w:spacing w:before="0" w:after="100" w:line="269" w:lineRule="auto"/>
        <w:ind w:left="187" w:hanging="187"/>
      </w:pPr>
      <w:r>
        <w:rPr>
          <w:rFonts w:ascii="Arial" w:hAnsi="Arial"/>
          <w:b w:val="0"/>
          <w:color w:val="181818"/>
          <w:sz w:val="20"/>
        </w:rPr>
        <w:t>•  Interface and responsibility schedule</w:t>
      </w:r>
    </w:p>
    <w:p>
      <w:pPr>
        <w:keepNext w:val="0"/>
        <w:spacing w:before="0" w:after="100" w:line="269" w:lineRule="auto"/>
        <w:ind w:left="187" w:hanging="187"/>
      </w:pPr>
      <w:r>
        <w:rPr>
          <w:rFonts w:ascii="Arial" w:hAnsi="Arial"/>
          <w:b w:val="0"/>
          <w:color w:val="181818"/>
          <w:sz w:val="20"/>
        </w:rPr>
        <w:t>•  Scenario-based acceptance evidence</w:t>
      </w:r>
    </w:p>
    <w:p>
      <w:pPr>
        <w:keepNext w:val="0"/>
        <w:spacing w:before="0" w:after="100" w:line="269" w:lineRule="auto"/>
        <w:ind w:left="187" w:hanging="187"/>
      </w:pPr>
      <w:r>
        <w:rPr>
          <w:rFonts w:ascii="Arial" w:hAnsi="Arial"/>
          <w:b w:val="0"/>
          <w:color w:val="181818"/>
          <w:sz w:val="20"/>
        </w:rPr>
        <w:t>•  Operator quick guides, administrator documentation, and test schedule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GHT-SVC-021 / INTERCOM, PAGING, AND MASS COMMUNICATION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Message types, originators, target groups, zones, and priorities</w:t>
      </w:r>
    </w:p>
    <w:p>
      <w:pPr>
        <w:keepNext w:val="0"/>
        <w:spacing w:before="0" w:after="100" w:line="269" w:lineRule="auto"/>
        <w:ind w:left="187" w:hanging="187"/>
      </w:pPr>
      <w:r>
        <w:rPr>
          <w:rFonts w:ascii="Arial" w:hAnsi="Arial"/>
          <w:b w:val="0"/>
          <w:color w:val="181818"/>
          <w:sz w:val="20"/>
        </w:rPr>
        <w:t>•  Ambient noise, acoustics, indoor/outdoor conditions, and accessibility needs</w:t>
      </w:r>
    </w:p>
    <w:p>
      <w:pPr>
        <w:keepNext w:val="0"/>
        <w:spacing w:before="0" w:after="100" w:line="269" w:lineRule="auto"/>
        <w:ind w:left="187" w:hanging="187"/>
      </w:pPr>
      <w:r>
        <w:rPr>
          <w:rFonts w:ascii="Arial" w:hAnsi="Arial"/>
          <w:b w:val="0"/>
          <w:color w:val="181818"/>
          <w:sz w:val="20"/>
        </w:rPr>
        <w:t>•  Existing emergency action plan and responsible design authorities</w:t>
      </w:r>
    </w:p>
    <w:p>
      <w:pPr>
        <w:keepNext w:val="0"/>
        <w:spacing w:before="0" w:after="100" w:line="269" w:lineRule="auto"/>
        <w:ind w:left="187" w:hanging="187"/>
      </w:pPr>
      <w:r>
        <w:rPr>
          <w:rFonts w:ascii="Arial" w:hAnsi="Arial"/>
          <w:b w:val="0"/>
          <w:color w:val="181818"/>
          <w:sz w:val="20"/>
        </w:rPr>
        <w:t>•  Network, power, pathways, amplifier locations, and resilience requirements</w:t>
      </w:r>
    </w:p>
    <w:p>
      <w:pPr>
        <w:keepNext w:val="0"/>
        <w:spacing w:before="0" w:after="100" w:line="269" w:lineRule="auto"/>
        <w:ind w:left="187" w:hanging="187"/>
      </w:pPr>
      <w:r>
        <w:rPr>
          <w:rFonts w:ascii="Arial" w:hAnsi="Arial"/>
          <w:b w:val="0"/>
          <w:color w:val="181818"/>
          <w:sz w:val="20"/>
        </w:rPr>
        <w:t>•  Interfaces to access, video, clocks, fire alarm, telephony, or mobile notification</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Emergency and life-safety communication may require code-specific design, listed equipment, testing, and authority approval</w:t>
      </w:r>
    </w:p>
    <w:p>
      <w:pPr>
        <w:keepNext w:val="0"/>
        <w:spacing w:before="0" w:after="100" w:line="269" w:lineRule="auto"/>
        <w:ind w:left="187" w:hanging="187"/>
      </w:pPr>
      <w:r>
        <w:rPr>
          <w:rFonts w:ascii="Arial" w:hAnsi="Arial"/>
          <w:b w:val="0"/>
          <w:color w:val="181818"/>
          <w:sz w:val="20"/>
        </w:rPr>
        <w:t>•  Audibility does not automatically mean intelligibility, especially in reverberant or noisy spaces</w:t>
      </w:r>
    </w:p>
    <w:p>
      <w:pPr>
        <w:keepNext w:val="0"/>
        <w:spacing w:before="0" w:after="100" w:line="269" w:lineRule="auto"/>
        <w:ind w:left="187" w:hanging="187"/>
      </w:pPr>
      <w:r>
        <w:rPr>
          <w:rFonts w:ascii="Arial" w:hAnsi="Arial"/>
          <w:b w:val="0"/>
          <w:color w:val="181818"/>
          <w:sz w:val="20"/>
        </w:rPr>
        <w:t>•  Accessible communication can require visual, audible, and operable-part features beyond audio coverage</w:t>
      </w:r>
    </w:p>
    <w:p>
      <w:pPr>
        <w:keepNext w:val="0"/>
        <w:spacing w:before="0" w:after="100" w:line="269" w:lineRule="auto"/>
        <w:ind w:left="187" w:hanging="187"/>
      </w:pPr>
      <w:r>
        <w:rPr>
          <w:rFonts w:ascii="Arial" w:hAnsi="Arial"/>
          <w:b w:val="0"/>
          <w:color w:val="181818"/>
          <w:sz w:val="20"/>
        </w:rPr>
        <w:t>•  Networked services depend on configured priority, bandwidth, endpoint health, power, and licensing</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Occupational Safety and Health Administration — Employee Alarm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Federal Emergency Management Agency — IPAWS Program Planning Toolkit</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United States Access Board — Guide to the ADA Standards: Entrances, Doors, and Gates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AVIXA — Published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osha.gov/etools/evacuation-plans-procedures/emergency-standards/employee-alarms/" TargetMode="External"/><Relationship Id="rId13" Type="http://schemas.openxmlformats.org/officeDocument/2006/relationships/hyperlink" Target="https://www.fema.gov/emergency-managers/practitioners/integrated-public-alert-warning-system/public-safety-officials/toolkit" TargetMode="External"/><Relationship Id="rId14" Type="http://schemas.openxmlformats.org/officeDocument/2006/relationships/hyperlink" Target="https://www.access-board.gov/ada/guides/chapter-4-entrances-doors-and-gates/" TargetMode="External"/><Relationship Id="rId15" Type="http://schemas.openxmlformats.org/officeDocument/2006/relationships/hyperlink" Target="https://www.avixa.org/resources/standards/published-standards" TargetMode="External"/><Relationship Id="rId16" Type="http://schemas.openxmlformats.org/officeDocument/2006/relationships/hyperlink" Target="https://ght.network/services/physical-security/intercom-paging-mass-communi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 paging, and mass communication — Service specification</dc:title>
  <dc:subject>Intercom handles two-way calls, paging distributes voice or tones, and mass communication coordinates urgent messages, each with its own coverage, priority, accessibility, and approval requirements.</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