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Intrusion alarms and monitoring</w:t>
      </w:r>
    </w:p>
    <w:p>
      <w:pPr>
        <w:keepNext w:val="0"/>
        <w:spacing w:before="0" w:after="240" w:line="269" w:lineRule="auto"/>
      </w:pPr>
      <w:r>
        <w:rPr>
          <w:rFonts w:ascii="Arial" w:hAnsi="Arial"/>
          <w:b w:val="0"/>
          <w:color w:val="646464"/>
          <w:sz w:val="17"/>
        </w:rPr>
        <w:t>GHT-SVC-020   •   Revision 1.0   •   06 September 2026   •   1 / 3</w:t>
      </w:r>
    </w:p>
    <w:p>
      <w:pPr>
        <w:keepNext w:val="0"/>
        <w:spacing w:before="0" w:after="180" w:line="269" w:lineRule="auto"/>
      </w:pPr>
      <w:r>
        <w:rPr>
          <w:rFonts w:ascii="Arial" w:hAnsi="Arial"/>
          <w:b w:val="0"/>
          <w:color w:val="181818"/>
          <w:sz w:val="22"/>
        </w:rPr>
        <w:t>Sensors, zones, users, arming rules, communication paths, verification, notification, and response instructions, working as one system.</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Named zones and users, tested sensors and communication paths, current contacts, notification evidence, and documented response instructions.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An intrusion system supervises defined conditions such as doors, windows, motion, glass breakage, duress, or equipment state. It needs zone naming, arming partitions, user permissions, communication paths, maintenance tests, and response instructions that reflect how the facility operates.</w:t>
      </w:r>
    </w:p>
    <w:p>
      <w:pPr>
        <w:keepNext w:val="0"/>
        <w:spacing w:before="0" w:after="120" w:line="269" w:lineRule="auto"/>
      </w:pPr>
      <w:r>
        <w:rPr>
          <w:rFonts w:ascii="Arial" w:hAnsi="Arial"/>
          <w:b w:val="0"/>
          <w:color w:val="181818"/>
          <w:sz w:val="20"/>
        </w:rPr>
        <w:t>Monitoring is not automatically continuous or police dispatch. Coverage windows, verification steps, contacts, response targets, permits, and central-station services are contract- and jurisdiction-specific and must be stated explicitly.</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Detect</w:t>
            </w:r>
          </w:p>
        </w:tc>
        <w:tc>
          <w:tcPr>
            <w:tcW w:type="dxa" w:w="7200"/>
            <w:shd w:fill="F4F1E9"/>
          </w:tcPr>
          <w:p>
            <w:pPr>
              <w:spacing w:before="100" w:after="100"/>
            </w:pPr>
            <w:r>
              <w:rPr>
                <w:rFonts w:ascii="Arial" w:hAnsi="Arial"/>
                <w:sz w:val="18"/>
              </w:rPr>
              <w:t>Contacts, motion, glass break, duress, environmental or equipment inputs</w:t>
            </w:r>
          </w:p>
        </w:tc>
      </w:tr>
      <w:tr>
        <w:tc>
          <w:tcPr>
            <w:tcW w:type="dxa" w:w="2160"/>
            <w:shd w:fill="FFFFFF"/>
          </w:tcPr>
          <w:p>
            <w:pPr>
              <w:spacing w:before="100" w:after="100"/>
            </w:pPr>
            <w:r>
              <w:rPr>
                <w:rFonts w:ascii="Arial" w:hAnsi="Arial"/>
                <w:b/>
                <w:sz w:val="18"/>
              </w:rPr>
              <w:t>02  Control</w:t>
            </w:r>
          </w:p>
        </w:tc>
        <w:tc>
          <w:tcPr>
            <w:tcW w:type="dxa" w:w="7200"/>
            <w:shd w:fill="FFFFFF"/>
          </w:tcPr>
          <w:p>
            <w:pPr>
              <w:spacing w:before="100" w:after="100"/>
            </w:pPr>
            <w:r>
              <w:rPr>
                <w:rFonts w:ascii="Arial" w:hAnsi="Arial"/>
                <w:sz w:val="18"/>
              </w:rPr>
              <w:t>Panel, zones, partitions, users, arming rules, local annunciation</w:t>
            </w:r>
          </w:p>
        </w:tc>
      </w:tr>
      <w:tr>
        <w:tc>
          <w:tcPr>
            <w:tcW w:type="dxa" w:w="2160"/>
            <w:shd w:fill="F4F1E9"/>
          </w:tcPr>
          <w:p>
            <w:pPr>
              <w:spacing w:before="100" w:after="100"/>
            </w:pPr>
            <w:r>
              <w:rPr>
                <w:rFonts w:ascii="Arial" w:hAnsi="Arial"/>
                <w:b/>
                <w:sz w:val="18"/>
              </w:rPr>
              <w:t>03  Communicate</w:t>
            </w:r>
          </w:p>
        </w:tc>
        <w:tc>
          <w:tcPr>
            <w:tcW w:type="dxa" w:w="7200"/>
            <w:shd w:fill="F4F1E9"/>
          </w:tcPr>
          <w:p>
            <w:pPr>
              <w:spacing w:before="100" w:after="100"/>
            </w:pPr>
            <w:r>
              <w:rPr>
                <w:rFonts w:ascii="Arial" w:hAnsi="Arial"/>
                <w:sz w:val="18"/>
              </w:rPr>
              <w:t>IP, cellular, or other supported paths with supervised failure states</w:t>
            </w:r>
          </w:p>
        </w:tc>
      </w:tr>
      <w:tr>
        <w:tc>
          <w:tcPr>
            <w:tcW w:type="dxa" w:w="2160"/>
            <w:shd w:fill="FFFFFF"/>
          </w:tcPr>
          <w:p>
            <w:pPr>
              <w:spacing w:before="100" w:after="100"/>
            </w:pPr>
            <w:r>
              <w:rPr>
                <w:rFonts w:ascii="Arial" w:hAnsi="Arial"/>
                <w:b/>
                <w:sz w:val="18"/>
              </w:rPr>
              <w:t>04  Respond</w:t>
            </w:r>
          </w:p>
        </w:tc>
        <w:tc>
          <w:tcPr>
            <w:tcW w:type="dxa" w:w="7200"/>
            <w:shd w:fill="FFFFFF"/>
          </w:tcPr>
          <w:p>
            <w:pPr>
              <w:spacing w:before="100" w:after="100"/>
            </w:pPr>
            <w:r>
              <w:rPr>
                <w:rFonts w:ascii="Arial" w:hAnsi="Arial"/>
                <w:sz w:val="18"/>
              </w:rPr>
              <w:t>Local procedure, owner notification, verification, and separately contracted monitoring</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Unknown zones or recurring nuisance alarms</w:t>
      </w:r>
    </w:p>
    <w:p>
      <w:pPr>
        <w:keepNext w:val="0"/>
        <w:spacing w:before="0" w:after="100" w:line="269" w:lineRule="auto"/>
        <w:ind w:left="187" w:hanging="187"/>
      </w:pPr>
      <w:r>
        <w:rPr>
          <w:rFonts w:ascii="Arial" w:hAnsi="Arial"/>
          <w:b w:val="0"/>
          <w:color w:val="181818"/>
          <w:sz w:val="20"/>
        </w:rPr>
        <w:t>•  Changes in occupancy, perimeter, hours, or protected assets</w:t>
      </w:r>
    </w:p>
    <w:p>
      <w:pPr>
        <w:keepNext w:val="0"/>
        <w:spacing w:before="0" w:after="100" w:line="269" w:lineRule="auto"/>
        <w:ind w:left="187" w:hanging="187"/>
      </w:pPr>
      <w:r>
        <w:rPr>
          <w:rFonts w:ascii="Arial" w:hAnsi="Arial"/>
          <w:b w:val="0"/>
          <w:color w:val="181818"/>
          <w:sz w:val="20"/>
        </w:rPr>
        <w:t>•  Dependence on a single aging communication path</w:t>
      </w:r>
    </w:p>
    <w:p>
      <w:pPr>
        <w:keepNext w:val="0"/>
        <w:spacing w:before="0" w:after="100" w:line="269" w:lineRule="auto"/>
        <w:ind w:left="187" w:hanging="187"/>
      </w:pPr>
      <w:r>
        <w:rPr>
          <w:rFonts w:ascii="Arial" w:hAnsi="Arial"/>
          <w:b w:val="0"/>
          <w:color w:val="181818"/>
          <w:sz w:val="20"/>
        </w:rPr>
        <w:t>•  No current contact list, test record, permit owner, or response procedure</w:t>
      </w:r>
    </w:p>
    <w:p>
      <w:r>
        <w:br w:type="page"/>
      </w:r>
    </w:p>
    <w:p>
      <w:pPr>
        <w:keepNext/>
        <w:spacing w:before="1200" w:after="160" w:line="269" w:lineRule="auto"/>
      </w:pPr>
      <w:r>
        <w:rPr>
          <w:rFonts w:ascii="Arial" w:hAnsi="Arial"/>
          <w:b/>
          <w:color w:val="9B792B"/>
          <w:sz w:val="18"/>
        </w:rPr>
        <w:t>GHT-SVC-020 / INTRUSION ALARMS AND MONITORING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Map risk and operation</w:t>
      </w:r>
    </w:p>
    <w:p>
      <w:pPr>
        <w:keepNext w:val="0"/>
        <w:spacing w:before="0" w:after="80" w:line="269" w:lineRule="auto"/>
      </w:pPr>
      <w:r>
        <w:rPr>
          <w:rFonts w:ascii="Arial" w:hAnsi="Arial"/>
          <w:b w:val="0"/>
          <w:color w:val="181818"/>
          <w:sz w:val="20"/>
        </w:rPr>
        <w:t>Identify entry points, protected areas, hours, user behavior, pets or environmental motion, existing zones, communications, permits, and response ownership.</w:t>
      </w:r>
    </w:p>
    <w:p>
      <w:pPr>
        <w:keepNext w:val="0"/>
        <w:spacing w:before="0" w:after="140" w:line="269" w:lineRule="auto"/>
      </w:pPr>
      <w:r>
        <w:rPr>
          <w:rFonts w:ascii="Arial" w:hAnsi="Arial"/>
          <w:b/>
          <w:color w:val="181818"/>
          <w:sz w:val="18"/>
        </w:rPr>
        <w:t>Acceptance evidence: Risk-and-zone survey, existing-device test notes, contact owner, and jurisdictional questions.</w:t>
      </w:r>
    </w:p>
    <w:p>
      <w:pPr>
        <w:keepNext/>
        <w:spacing w:before="200" w:after="120" w:line="269" w:lineRule="auto"/>
      </w:pPr>
      <w:r>
        <w:rPr>
          <w:rFonts w:ascii="Arial" w:hAnsi="Arial"/>
          <w:b/>
          <w:color w:val="9B792B"/>
          <w:sz w:val="24"/>
        </w:rPr>
        <w:t>02  Design detection and response</w:t>
      </w:r>
    </w:p>
    <w:p>
      <w:pPr>
        <w:keepNext w:val="0"/>
        <w:spacing w:before="0" w:after="80" w:line="269" w:lineRule="auto"/>
      </w:pPr>
      <w:r>
        <w:rPr>
          <w:rFonts w:ascii="Arial" w:hAnsi="Arial"/>
          <w:b w:val="0"/>
          <w:color w:val="181818"/>
          <w:sz w:val="20"/>
        </w:rPr>
        <w:t>Select zone types and placement, partitions, arming behavior, notification paths, verification steps, communication diversity, and documented coverage window.</w:t>
      </w:r>
    </w:p>
    <w:p>
      <w:pPr>
        <w:keepNext w:val="0"/>
        <w:spacing w:before="0" w:after="140" w:line="269" w:lineRule="auto"/>
      </w:pPr>
      <w:r>
        <w:rPr>
          <w:rFonts w:ascii="Arial" w:hAnsi="Arial"/>
          <w:b/>
          <w:color w:val="181818"/>
          <w:sz w:val="18"/>
        </w:rPr>
        <w:t>Acceptance evidence: Zone list, device plan, communication diagram, event-to-response matrix, and monitoring assumptions.</w:t>
      </w:r>
    </w:p>
    <w:p>
      <w:pPr>
        <w:keepNext/>
        <w:spacing w:before="200" w:after="120" w:line="269" w:lineRule="auto"/>
      </w:pPr>
      <w:r>
        <w:rPr>
          <w:rFonts w:ascii="Arial" w:hAnsi="Arial"/>
          <w:b/>
          <w:color w:val="9B792B"/>
          <w:sz w:val="24"/>
        </w:rPr>
        <w:t>03  Install and program</w:t>
      </w:r>
    </w:p>
    <w:p>
      <w:pPr>
        <w:keepNext w:val="0"/>
        <w:spacing w:before="0" w:after="80" w:line="269" w:lineRule="auto"/>
      </w:pPr>
      <w:r>
        <w:rPr>
          <w:rFonts w:ascii="Arial" w:hAnsi="Arial"/>
          <w:b w:val="0"/>
          <w:color w:val="181818"/>
          <w:sz w:val="20"/>
        </w:rPr>
        <w:t>Install and label field devices, establish users and partitions, program event handling, coordinate any monitoring account, and train named administrators.</w:t>
      </w:r>
    </w:p>
    <w:p>
      <w:pPr>
        <w:keepNext w:val="0"/>
        <w:spacing w:before="0" w:after="140" w:line="269" w:lineRule="auto"/>
      </w:pPr>
      <w:r>
        <w:rPr>
          <w:rFonts w:ascii="Arial" w:hAnsi="Arial"/>
          <w:b/>
          <w:color w:val="181818"/>
          <w:sz w:val="18"/>
        </w:rPr>
        <w:t>Acceptance evidence: Device inventory, zone text, user-role record, programmed event list, and monitoring account handoff where contracted.</w:t>
      </w:r>
    </w:p>
    <w:p>
      <w:pPr>
        <w:keepNext/>
        <w:spacing w:before="200" w:after="120" w:line="269" w:lineRule="auto"/>
      </w:pPr>
      <w:r>
        <w:rPr>
          <w:rFonts w:ascii="Arial" w:hAnsi="Arial"/>
          <w:b/>
          <w:color w:val="9B792B"/>
          <w:sz w:val="24"/>
        </w:rPr>
        <w:t>04  Test the full signal path</w:t>
      </w:r>
    </w:p>
    <w:p>
      <w:pPr>
        <w:keepNext w:val="0"/>
        <w:spacing w:before="0" w:after="80" w:line="269" w:lineRule="auto"/>
      </w:pPr>
      <w:r>
        <w:rPr>
          <w:rFonts w:ascii="Arial" w:hAnsi="Arial"/>
          <w:b w:val="0"/>
          <w:color w:val="181818"/>
          <w:sz w:val="20"/>
        </w:rPr>
        <w:t>Exercise sensors, tamper, low-battery, communications loss, arming, entry and exit timing, notifications, and contracted monitoring procedures without causing an unintended dispatch.</w:t>
      </w:r>
    </w:p>
    <w:p>
      <w:pPr>
        <w:keepNext w:val="0"/>
        <w:spacing w:before="0" w:after="140" w:line="269" w:lineRule="auto"/>
      </w:pPr>
      <w:r>
        <w:rPr>
          <w:rFonts w:ascii="Arial" w:hAnsi="Arial"/>
          <w:b/>
          <w:color w:val="181818"/>
          <w:sz w:val="18"/>
        </w:rPr>
        <w:t>Acceptance evidence: Zone-by-zone test sheet, signal receipt evidence, notification samples, contact-list confirmation, and exception log.</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Zone and device schedule</w:t>
      </w:r>
    </w:p>
    <w:p>
      <w:pPr>
        <w:keepNext w:val="0"/>
        <w:spacing w:before="0" w:after="100" w:line="269" w:lineRule="auto"/>
        <w:ind w:left="187" w:hanging="187"/>
      </w:pPr>
      <w:r>
        <w:rPr>
          <w:rFonts w:ascii="Arial" w:hAnsi="Arial"/>
          <w:b w:val="0"/>
          <w:color w:val="181818"/>
          <w:sz w:val="20"/>
        </w:rPr>
        <w:t>•  Partition, user, timing, and event-response configuration</w:t>
      </w:r>
    </w:p>
    <w:p>
      <w:pPr>
        <w:keepNext w:val="0"/>
        <w:spacing w:before="0" w:after="100" w:line="269" w:lineRule="auto"/>
        <w:ind w:left="187" w:hanging="187"/>
      </w:pPr>
      <w:r>
        <w:rPr>
          <w:rFonts w:ascii="Arial" w:hAnsi="Arial"/>
          <w:b w:val="0"/>
          <w:color w:val="181818"/>
          <w:sz w:val="20"/>
        </w:rPr>
        <w:t>•  Communication and power diagram</w:t>
      </w:r>
    </w:p>
    <w:p>
      <w:pPr>
        <w:keepNext w:val="0"/>
        <w:spacing w:before="0" w:after="100" w:line="269" w:lineRule="auto"/>
        <w:ind w:left="187" w:hanging="187"/>
      </w:pPr>
      <w:r>
        <w:rPr>
          <w:rFonts w:ascii="Arial" w:hAnsi="Arial"/>
          <w:b w:val="0"/>
          <w:color w:val="181818"/>
          <w:sz w:val="20"/>
        </w:rPr>
        <w:t>•  Zone-by-zone and end-to-end signal test evidence</w:t>
      </w:r>
    </w:p>
    <w:p>
      <w:pPr>
        <w:keepNext w:val="0"/>
        <w:spacing w:before="0" w:after="100" w:line="269" w:lineRule="auto"/>
        <w:ind w:left="187" w:hanging="187"/>
      </w:pPr>
      <w:r>
        <w:rPr>
          <w:rFonts w:ascii="Arial" w:hAnsi="Arial"/>
          <w:b w:val="0"/>
          <w:color w:val="181818"/>
          <w:sz w:val="20"/>
        </w:rPr>
        <w:t>•  Contact list, administrator training, permit-owner notes, and maintenance plan</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GHT-SVC-020 / INTRUSION ALARMS AND MONITORING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Protected spaces, event types, operating hours, and arming owners</w:t>
      </w:r>
    </w:p>
    <w:p>
      <w:pPr>
        <w:keepNext w:val="0"/>
        <w:spacing w:before="0" w:after="100" w:line="269" w:lineRule="auto"/>
        <w:ind w:left="187" w:hanging="187"/>
      </w:pPr>
      <w:r>
        <w:rPr>
          <w:rFonts w:ascii="Arial" w:hAnsi="Arial"/>
          <w:b w:val="0"/>
          <w:color w:val="181818"/>
          <w:sz w:val="20"/>
        </w:rPr>
        <w:t>•  Door, glass, motion, temperature, dust, pets, and other environmental conditions</w:t>
      </w:r>
    </w:p>
    <w:p>
      <w:pPr>
        <w:keepNext w:val="0"/>
        <w:spacing w:before="0" w:after="100" w:line="269" w:lineRule="auto"/>
        <w:ind w:left="187" w:hanging="187"/>
      </w:pPr>
      <w:r>
        <w:rPr>
          <w:rFonts w:ascii="Arial" w:hAnsi="Arial"/>
          <w:b w:val="0"/>
          <w:color w:val="181818"/>
          <w:sz w:val="20"/>
        </w:rPr>
        <w:t>•  Local notification, owner contact, verification, and monitoring requirements</w:t>
      </w:r>
    </w:p>
    <w:p>
      <w:pPr>
        <w:keepNext w:val="0"/>
        <w:spacing w:before="0" w:after="100" w:line="269" w:lineRule="auto"/>
        <w:ind w:left="187" w:hanging="187"/>
      </w:pPr>
      <w:r>
        <w:rPr>
          <w:rFonts w:ascii="Arial" w:hAnsi="Arial"/>
          <w:b w:val="0"/>
          <w:color w:val="181818"/>
          <w:sz w:val="20"/>
        </w:rPr>
        <w:t>•  Available IP, cellular, power, battery, and pathway conditions</w:t>
      </w:r>
    </w:p>
    <w:p>
      <w:pPr>
        <w:keepNext w:val="0"/>
        <w:spacing w:before="0" w:after="100" w:line="269" w:lineRule="auto"/>
        <w:ind w:left="187" w:hanging="187"/>
      </w:pPr>
      <w:r>
        <w:rPr>
          <w:rFonts w:ascii="Arial" w:hAnsi="Arial"/>
          <w:b w:val="0"/>
          <w:color w:val="181818"/>
          <w:sz w:val="20"/>
        </w:rPr>
        <w:t>•  Jurisdictional permit, registration, dispatch, and false-alarm rules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Detection cannot guarantee prevention or a specific response outcome</w:t>
      </w:r>
    </w:p>
    <w:p>
      <w:pPr>
        <w:keepNext w:val="0"/>
        <w:spacing w:before="0" w:after="100" w:line="269" w:lineRule="auto"/>
        <w:ind w:left="187" w:hanging="187"/>
      </w:pPr>
      <w:r>
        <w:rPr>
          <w:rFonts w:ascii="Arial" w:hAnsi="Arial"/>
          <w:b w:val="0"/>
          <w:color w:val="181818"/>
          <w:sz w:val="20"/>
        </w:rPr>
        <w:t>•  Central-station hours, verification, response targets, and dispatch processes are separately contracted and jurisdiction-specific</w:t>
      </w:r>
    </w:p>
    <w:p>
      <w:pPr>
        <w:keepNext w:val="0"/>
        <w:spacing w:before="0" w:after="100" w:line="269" w:lineRule="auto"/>
        <w:ind w:left="187" w:hanging="187"/>
      </w:pPr>
      <w:r>
        <w:rPr>
          <w:rFonts w:ascii="Arial" w:hAnsi="Arial"/>
          <w:b w:val="0"/>
          <w:color w:val="181818"/>
          <w:sz w:val="20"/>
        </w:rPr>
        <w:t>•  Fire alarm, life safety, and intrusion are distinct scopes even when platforms can exchange status</w:t>
      </w:r>
    </w:p>
    <w:p>
      <w:pPr>
        <w:keepNext w:val="0"/>
        <w:spacing w:before="0" w:after="100" w:line="269" w:lineRule="auto"/>
        <w:ind w:left="187" w:hanging="187"/>
      </w:pPr>
      <w:r>
        <w:rPr>
          <w:rFonts w:ascii="Arial" w:hAnsi="Arial"/>
          <w:b w:val="0"/>
          <w:color w:val="181818"/>
          <w:sz w:val="20"/>
        </w:rPr>
        <w:t>•  Wireless range, batteries, environmental motion, user behavior, and communication outages affect performance</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Security Industry Association — ANSI/SIA CP-01-2019: Features for False Alarm Reduction</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Security Industry Association — At-a-Glance Guide to SIA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Cybersecurity and Infrastructure Security Agency — Physical Security</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securityindustry.org/industry-standards/cp-01-2019/" TargetMode="External"/><Relationship Id="rId13" Type="http://schemas.openxmlformats.org/officeDocument/2006/relationships/hyperlink" Target="https://www.securityindustry.org/industry-standards/at-a-glance-guide-to-sia-standards/" TargetMode="External"/><Relationship Id="rId14" Type="http://schemas.openxmlformats.org/officeDocument/2006/relationships/hyperlink" Target="https://www.cisa.gov/hometown-security" TargetMode="External"/><Relationship Id="rId15" Type="http://schemas.openxmlformats.org/officeDocument/2006/relationships/hyperlink" Target="https://ght.network/services/physical-security/intrusion-alarms-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Intrusion alarms and monitoring — Service specification</dc:title>
  <dc:subject>Sensors, zones, users, arming rules, communication paths, verification, notification, and response instructions, working as one system.</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