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OPERATIONAL SYSTEMS</w:t>
      </w:r>
    </w:p>
    <w:p>
      <w:pPr>
        <w:keepNext/>
        <w:spacing w:before="0" w:after="180" w:line="269" w:lineRule="auto"/>
      </w:pPr>
      <w:r>
        <w:rPr>
          <w:rFonts w:ascii="Arial" w:hAnsi="Arial"/>
          <w:b/>
          <w:color w:val="181818"/>
          <w:sz w:val="48"/>
        </w:rPr>
        <w:t>Inventory workflows</w:t>
      </w:r>
    </w:p>
    <w:p>
      <w:pPr>
        <w:keepNext w:val="0"/>
        <w:spacing w:before="0" w:after="240" w:line="269" w:lineRule="auto"/>
      </w:pPr>
      <w:r>
        <w:rPr>
          <w:rFonts w:ascii="Arial" w:hAnsi="Arial"/>
          <w:b w:val="0"/>
          <w:color w:val="646464"/>
          <w:sz w:val="17"/>
        </w:rPr>
        <w:t>GHT-SVC-028   •   Revision 1.0   •   06 September 2026   •   1 / 3</w:t>
      </w:r>
    </w:p>
    <w:p>
      <w:pPr>
        <w:keepNext w:val="0"/>
        <w:spacing w:before="0" w:after="180" w:line="269" w:lineRule="auto"/>
      </w:pPr>
      <w:r>
        <w:rPr>
          <w:rFonts w:ascii="Arial" w:hAnsi="Arial"/>
          <w:b w:val="0"/>
          <w:color w:val="181818"/>
          <w:sz w:val="22"/>
        </w:rPr>
        <w:t>Receiving, put-away, picking, transfer, count, sale, return, and disposal connect through identifiers, labels, scanners, printers, handhelds, wireless coverage, software transactions, and exception handling.</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A tested process that records the correct item, location, person, quantity, and status and reconciles exceptions to the main inventory record.</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Inventory technology can use linear or two-dimensional barcodes, labels, mobile computers, fixed scanners, printers, scales, cameras, or RFID. The right method follows item identity, unit level, read distance, throughput, environment, human workflow, data standard, and system integration.</w:t>
      </w:r>
    </w:p>
    <w:p>
      <w:pPr>
        <w:keepNext w:val="0"/>
        <w:spacing w:before="0" w:after="120" w:line="269" w:lineRule="auto"/>
      </w:pPr>
      <w:r>
        <w:rPr>
          <w:rFonts w:ascii="Arial" w:hAnsi="Arial"/>
          <w:b w:val="0"/>
          <w:color w:val="181818"/>
          <w:sz w:val="20"/>
        </w:rPr>
        <w:t>Infrastructure is only one layer. Master data, identifier governance, label quality, transaction design, user roles, reconciliation, and exception ownership determine whether scan events improve inventory truth.</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Identify</w:t>
            </w:r>
          </w:p>
        </w:tc>
        <w:tc>
          <w:tcPr>
            <w:tcW w:type="dxa" w:w="7200"/>
            <w:shd w:fill="F4F1E9"/>
          </w:tcPr>
          <w:p>
            <w:pPr>
              <w:spacing w:before="100" w:after="100"/>
            </w:pPr>
            <w:r>
              <w:rPr>
                <w:rFonts w:ascii="Arial" w:hAnsi="Arial"/>
                <w:sz w:val="18"/>
              </w:rPr>
              <w:t>Item, asset, location, logistics unit, person, lot, serial, status</w:t>
            </w:r>
          </w:p>
        </w:tc>
      </w:tr>
      <w:tr>
        <w:tc>
          <w:tcPr>
            <w:tcW w:type="dxa" w:w="2160"/>
            <w:shd w:fill="FFFFFF"/>
          </w:tcPr>
          <w:p>
            <w:pPr>
              <w:spacing w:before="100" w:after="100"/>
            </w:pPr>
            <w:r>
              <w:rPr>
                <w:rFonts w:ascii="Arial" w:hAnsi="Arial"/>
                <w:b/>
                <w:sz w:val="18"/>
              </w:rPr>
              <w:t>02  Capture</w:t>
            </w:r>
          </w:p>
        </w:tc>
        <w:tc>
          <w:tcPr>
            <w:tcW w:type="dxa" w:w="7200"/>
            <w:shd w:fill="FFFFFF"/>
          </w:tcPr>
          <w:p>
            <w:pPr>
              <w:spacing w:before="100" w:after="100"/>
            </w:pPr>
            <w:r>
              <w:rPr>
                <w:rFonts w:ascii="Arial" w:hAnsi="Arial"/>
                <w:sz w:val="18"/>
              </w:rPr>
              <w:t>Barcode, RFID, scanner, printer, handheld, fixed station, camera or scale</w:t>
            </w:r>
          </w:p>
        </w:tc>
      </w:tr>
      <w:tr>
        <w:tc>
          <w:tcPr>
            <w:tcW w:type="dxa" w:w="2160"/>
            <w:shd w:fill="F4F1E9"/>
          </w:tcPr>
          <w:p>
            <w:pPr>
              <w:spacing w:before="100" w:after="100"/>
            </w:pPr>
            <w:r>
              <w:rPr>
                <w:rFonts w:ascii="Arial" w:hAnsi="Arial"/>
                <w:b/>
                <w:sz w:val="18"/>
              </w:rPr>
              <w:t>03  Transport and transact</w:t>
            </w:r>
          </w:p>
        </w:tc>
        <w:tc>
          <w:tcPr>
            <w:tcW w:type="dxa" w:w="7200"/>
            <w:shd w:fill="F4F1E9"/>
          </w:tcPr>
          <w:p>
            <w:pPr>
              <w:spacing w:before="100" w:after="100"/>
            </w:pPr>
            <w:r>
              <w:rPr>
                <w:rFonts w:ascii="Arial" w:hAnsi="Arial"/>
                <w:sz w:val="18"/>
              </w:rPr>
              <w:t>Wireless or wired network, mobile app, validation, offline queue, API</w:t>
            </w:r>
          </w:p>
        </w:tc>
      </w:tr>
      <w:tr>
        <w:tc>
          <w:tcPr>
            <w:tcW w:type="dxa" w:w="2160"/>
            <w:shd w:fill="FFFFFF"/>
          </w:tcPr>
          <w:p>
            <w:pPr>
              <w:spacing w:before="100" w:after="100"/>
            </w:pPr>
            <w:r>
              <w:rPr>
                <w:rFonts w:ascii="Arial" w:hAnsi="Arial"/>
                <w:b/>
                <w:sz w:val="18"/>
              </w:rPr>
              <w:t>04  Record and reconcile</w:t>
            </w:r>
          </w:p>
        </w:tc>
        <w:tc>
          <w:tcPr>
            <w:tcW w:type="dxa" w:w="7200"/>
            <w:shd w:fill="FFFFFF"/>
          </w:tcPr>
          <w:p>
            <w:pPr>
              <w:spacing w:before="100" w:after="100"/>
            </w:pPr>
            <w:r>
              <w:rPr>
                <w:rFonts w:ascii="Arial" w:hAnsi="Arial"/>
                <w:sz w:val="18"/>
              </w:rPr>
              <w:t>ERP, WMS, POS or other system of record, exceptions, counts, audit</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Receiving, transfers, counts, or picks are re-keyed after the physical work</w:t>
      </w:r>
    </w:p>
    <w:p>
      <w:pPr>
        <w:keepNext w:val="0"/>
        <w:spacing w:before="0" w:after="100" w:line="269" w:lineRule="auto"/>
        <w:ind w:left="187" w:hanging="187"/>
      </w:pPr>
      <w:r>
        <w:rPr>
          <w:rFonts w:ascii="Arial" w:hAnsi="Arial"/>
          <w:b w:val="0"/>
          <w:color w:val="181818"/>
          <w:sz w:val="20"/>
        </w:rPr>
        <w:t>•  Labels are unreadable, duplicated, ambiguous, or not tied to a location standard</w:t>
      </w:r>
    </w:p>
    <w:p>
      <w:pPr>
        <w:keepNext w:val="0"/>
        <w:spacing w:before="0" w:after="100" w:line="269" w:lineRule="auto"/>
        <w:ind w:left="187" w:hanging="187"/>
      </w:pPr>
      <w:r>
        <w:rPr>
          <w:rFonts w:ascii="Arial" w:hAnsi="Arial"/>
          <w:b w:val="0"/>
          <w:color w:val="181818"/>
          <w:sz w:val="20"/>
        </w:rPr>
        <w:t>•  Handhelds lose coverage at docks, aisles, coolers, yards, or staging areas</w:t>
      </w:r>
    </w:p>
    <w:p>
      <w:pPr>
        <w:keepNext w:val="0"/>
        <w:spacing w:before="0" w:after="100" w:line="269" w:lineRule="auto"/>
        <w:ind w:left="187" w:hanging="187"/>
      </w:pPr>
      <w:r>
        <w:rPr>
          <w:rFonts w:ascii="Arial" w:hAnsi="Arial"/>
          <w:b w:val="0"/>
          <w:color w:val="181818"/>
          <w:sz w:val="20"/>
        </w:rPr>
        <w:t>•  Software reports an item state that operators cannot reconcile to the floor</w:t>
      </w:r>
    </w:p>
    <w:p>
      <w:r>
        <w:br w:type="page"/>
      </w:r>
    </w:p>
    <w:p>
      <w:pPr>
        <w:keepNext/>
        <w:spacing w:before="1200" w:after="160" w:line="269" w:lineRule="auto"/>
      </w:pPr>
      <w:r>
        <w:rPr>
          <w:rFonts w:ascii="Arial" w:hAnsi="Arial"/>
          <w:b/>
          <w:color w:val="9B792B"/>
          <w:sz w:val="18"/>
        </w:rPr>
        <w:t>GHT-SVC-028 / INVENTORY WORKFLOWS</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Walk every movement</w:t>
      </w:r>
    </w:p>
    <w:p>
      <w:pPr>
        <w:keepNext w:val="0"/>
        <w:spacing w:before="0" w:after="80" w:line="269" w:lineRule="auto"/>
      </w:pPr>
      <w:r>
        <w:rPr>
          <w:rFonts w:ascii="Arial" w:hAnsi="Arial"/>
          <w:b w:val="0"/>
          <w:color w:val="181818"/>
          <w:sz w:val="20"/>
        </w:rPr>
        <w:t>Observe receiving through disposition, record items, units, locations, roles, identifiers, devices, workarounds, exceptions, latency, and reconciliation points.</w:t>
      </w:r>
    </w:p>
    <w:p>
      <w:pPr>
        <w:keepNext w:val="0"/>
        <w:spacing w:before="0" w:after="140" w:line="269" w:lineRule="auto"/>
      </w:pPr>
      <w:r>
        <w:rPr>
          <w:rFonts w:ascii="Arial" w:hAnsi="Arial"/>
          <w:b/>
          <w:color w:val="181818"/>
          <w:sz w:val="18"/>
        </w:rPr>
        <w:t>Acceptance evidence: Current-state swimlane, critical-event list, identifier and location inventory, exception log, and coverage observations.</w:t>
      </w:r>
    </w:p>
    <w:p>
      <w:pPr>
        <w:keepNext/>
        <w:spacing w:before="200" w:after="120" w:line="269" w:lineRule="auto"/>
      </w:pPr>
      <w:r>
        <w:rPr>
          <w:rFonts w:ascii="Arial" w:hAnsi="Arial"/>
          <w:b/>
          <w:color w:val="9B792B"/>
          <w:sz w:val="24"/>
        </w:rPr>
        <w:t>02  Design identify, capture, share</w:t>
      </w:r>
    </w:p>
    <w:p>
      <w:pPr>
        <w:keepNext w:val="0"/>
        <w:spacing w:before="0" w:after="80" w:line="269" w:lineRule="auto"/>
      </w:pPr>
      <w:r>
        <w:rPr>
          <w:rFonts w:ascii="Arial" w:hAnsi="Arial"/>
          <w:b w:val="0"/>
          <w:color w:val="181818"/>
          <w:sz w:val="20"/>
        </w:rPr>
        <w:t>Choose identifiers and carrier, label and print process, scan points, device type, wireless, transaction fields, validation, integration, and exception ownership.</w:t>
      </w:r>
    </w:p>
    <w:p>
      <w:pPr>
        <w:keepNext w:val="0"/>
        <w:spacing w:before="0" w:after="140" w:line="269" w:lineRule="auto"/>
      </w:pPr>
      <w:r>
        <w:rPr>
          <w:rFonts w:ascii="Arial" w:hAnsi="Arial"/>
          <w:b/>
          <w:color w:val="181818"/>
          <w:sz w:val="18"/>
        </w:rPr>
        <w:t>Acceptance evidence: Future-state workflow, data dictionary, label samples, device and coverage plan, integration map, and acceptance metrics.</w:t>
      </w:r>
    </w:p>
    <w:p>
      <w:pPr>
        <w:keepNext/>
        <w:spacing w:before="200" w:after="120" w:line="269" w:lineRule="auto"/>
      </w:pPr>
      <w:r>
        <w:rPr>
          <w:rFonts w:ascii="Arial" w:hAnsi="Arial"/>
          <w:b/>
          <w:color w:val="9B792B"/>
          <w:sz w:val="24"/>
        </w:rPr>
        <w:t>03  Pilot one defined flow</w:t>
      </w:r>
    </w:p>
    <w:p>
      <w:pPr>
        <w:keepNext w:val="0"/>
        <w:spacing w:before="0" w:after="80" w:line="269" w:lineRule="auto"/>
      </w:pPr>
      <w:r>
        <w:rPr>
          <w:rFonts w:ascii="Arial" w:hAnsi="Arial"/>
          <w:b w:val="0"/>
          <w:color w:val="181818"/>
          <w:sz w:val="20"/>
        </w:rPr>
        <w:t>Configure devices, users, printers, labels, transactions, validation, and integration; train a representative group and run controlled inventory.</w:t>
      </w:r>
    </w:p>
    <w:p>
      <w:pPr>
        <w:keepNext w:val="0"/>
        <w:spacing w:before="0" w:after="140" w:line="269" w:lineRule="auto"/>
      </w:pPr>
      <w:r>
        <w:rPr>
          <w:rFonts w:ascii="Arial" w:hAnsi="Arial"/>
          <w:b/>
          <w:color w:val="181818"/>
          <w:sz w:val="18"/>
        </w:rPr>
        <w:t>Acceptance evidence: Pilot labels, scans, system transactions, error samples, training record, and measured exception results.</w:t>
      </w:r>
    </w:p>
    <w:p>
      <w:pPr>
        <w:keepNext/>
        <w:spacing w:before="200" w:after="120" w:line="269" w:lineRule="auto"/>
      </w:pPr>
      <w:r>
        <w:rPr>
          <w:rFonts w:ascii="Arial" w:hAnsi="Arial"/>
          <w:b/>
          <w:color w:val="9B792B"/>
          <w:sz w:val="24"/>
        </w:rPr>
        <w:t>04  Prove reconciliation</w:t>
      </w:r>
    </w:p>
    <w:p>
      <w:pPr>
        <w:keepNext w:val="0"/>
        <w:spacing w:before="0" w:after="80" w:line="269" w:lineRule="auto"/>
      </w:pPr>
      <w:r>
        <w:rPr>
          <w:rFonts w:ascii="Arial" w:hAnsi="Arial"/>
          <w:b w:val="0"/>
          <w:color w:val="181818"/>
          <w:sz w:val="20"/>
        </w:rPr>
        <w:t>Test normal, damaged label, duplicate, unknown item, wrong location, offline device, delayed sync, return, reversal, count, and recovery paths.</w:t>
      </w:r>
    </w:p>
    <w:p>
      <w:pPr>
        <w:keepNext w:val="0"/>
        <w:spacing w:before="0" w:after="140" w:line="269" w:lineRule="auto"/>
      </w:pPr>
      <w:r>
        <w:rPr>
          <w:rFonts w:ascii="Arial" w:hAnsi="Arial"/>
          <w:b/>
          <w:color w:val="181818"/>
          <w:sz w:val="18"/>
        </w:rPr>
        <w:t>Acceptance evidence: Accepted transaction set, before/after records, exception queue, reconciliation report, device inventory, and operator runbook.</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Current- and future-state inventory workflows</w:t>
      </w:r>
    </w:p>
    <w:p>
      <w:pPr>
        <w:keepNext w:val="0"/>
        <w:spacing w:before="0" w:after="100" w:line="269" w:lineRule="auto"/>
        <w:ind w:left="187" w:hanging="187"/>
      </w:pPr>
      <w:r>
        <w:rPr>
          <w:rFonts w:ascii="Arial" w:hAnsi="Arial"/>
          <w:b w:val="0"/>
          <w:color w:val="181818"/>
          <w:sz w:val="20"/>
        </w:rPr>
        <w:t>•  Identifier, label, location, and data standards</w:t>
      </w:r>
    </w:p>
    <w:p>
      <w:pPr>
        <w:keepNext w:val="0"/>
        <w:spacing w:before="0" w:after="100" w:line="269" w:lineRule="auto"/>
        <w:ind w:left="187" w:hanging="187"/>
      </w:pPr>
      <w:r>
        <w:rPr>
          <w:rFonts w:ascii="Arial" w:hAnsi="Arial"/>
          <w:b w:val="0"/>
          <w:color w:val="181818"/>
          <w:sz w:val="20"/>
        </w:rPr>
        <w:t>•  Device, printer, charging, network, and coverage plan</w:t>
      </w:r>
    </w:p>
    <w:p>
      <w:pPr>
        <w:keepNext w:val="0"/>
        <w:spacing w:before="0" w:after="100" w:line="269" w:lineRule="auto"/>
        <w:ind w:left="187" w:hanging="187"/>
      </w:pPr>
      <w:r>
        <w:rPr>
          <w:rFonts w:ascii="Arial" w:hAnsi="Arial"/>
          <w:b w:val="0"/>
          <w:color w:val="181818"/>
          <w:sz w:val="20"/>
        </w:rPr>
        <w:t>•  Pilot and exception acceptance evidence</w:t>
      </w:r>
    </w:p>
    <w:p>
      <w:pPr>
        <w:keepNext w:val="0"/>
        <w:spacing w:before="0" w:after="100" w:line="269" w:lineRule="auto"/>
        <w:ind w:left="187" w:hanging="187"/>
      </w:pPr>
      <w:r>
        <w:rPr>
          <w:rFonts w:ascii="Arial" w:hAnsi="Arial"/>
          <w:b w:val="0"/>
          <w:color w:val="181818"/>
          <w:sz w:val="20"/>
        </w:rPr>
        <w:t>•  Integration mapping, reconciliation method, operator guide, and asset inventory</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GHT-SVC-028 / INVENTORY WORKFLOWS</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Critical tracking events, physical path, actors, throughput, and exception types</w:t>
      </w:r>
    </w:p>
    <w:p>
      <w:pPr>
        <w:keepNext w:val="0"/>
        <w:spacing w:before="0" w:after="100" w:line="269" w:lineRule="auto"/>
        <w:ind w:left="187" w:hanging="187"/>
      </w:pPr>
      <w:r>
        <w:rPr>
          <w:rFonts w:ascii="Arial" w:hAnsi="Arial"/>
          <w:b w:val="0"/>
          <w:color w:val="181818"/>
          <w:sz w:val="20"/>
        </w:rPr>
        <w:t>•  Item, unit, lot, serial, asset, location, and logistics identifiers</w:t>
      </w:r>
    </w:p>
    <w:p>
      <w:pPr>
        <w:keepNext w:val="0"/>
        <w:spacing w:before="0" w:after="100" w:line="269" w:lineRule="auto"/>
        <w:ind w:left="187" w:hanging="187"/>
      </w:pPr>
      <w:r>
        <w:rPr>
          <w:rFonts w:ascii="Arial" w:hAnsi="Arial"/>
          <w:b w:val="0"/>
          <w:color w:val="181818"/>
          <w:sz w:val="20"/>
        </w:rPr>
        <w:t>•  Label material, print quality, scan distance, environment, and device ergonomics</w:t>
      </w:r>
    </w:p>
    <w:p>
      <w:pPr>
        <w:keepNext w:val="0"/>
        <w:spacing w:before="0" w:after="100" w:line="269" w:lineRule="auto"/>
        <w:ind w:left="187" w:hanging="187"/>
      </w:pPr>
      <w:r>
        <w:rPr>
          <w:rFonts w:ascii="Arial" w:hAnsi="Arial"/>
          <w:b w:val="0"/>
          <w:color w:val="181818"/>
          <w:sz w:val="20"/>
        </w:rPr>
        <w:t>•  Wireless coverage, charging, mobile-device management, offline behavior, and support</w:t>
      </w:r>
    </w:p>
    <w:p>
      <w:pPr>
        <w:keepNext w:val="0"/>
        <w:spacing w:before="0" w:after="100" w:line="269" w:lineRule="auto"/>
        <w:ind w:left="187" w:hanging="187"/>
      </w:pPr>
      <w:r>
        <w:rPr>
          <w:rFonts w:ascii="Arial" w:hAnsi="Arial"/>
          <w:b w:val="0"/>
          <w:color w:val="181818"/>
          <w:sz w:val="20"/>
        </w:rPr>
        <w:t>•  System of record, API or import path, validation, permissions, reconciliation, and retention</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Hardware cannot correct duplicate identifiers, weak master data, unclear ownership, or an undefined transaction</w:t>
      </w:r>
    </w:p>
    <w:p>
      <w:pPr>
        <w:keepNext w:val="0"/>
        <w:spacing w:before="0" w:after="100" w:line="269" w:lineRule="auto"/>
        <w:ind w:left="187" w:hanging="187"/>
      </w:pPr>
      <w:r>
        <w:rPr>
          <w:rFonts w:ascii="Arial" w:hAnsi="Arial"/>
          <w:b w:val="0"/>
          <w:color w:val="181818"/>
          <w:sz w:val="20"/>
        </w:rPr>
        <w:t>•  RFID read performance changes with tag, material, orientation, reader geometry, interference, and local spectrum rules</w:t>
      </w:r>
    </w:p>
    <w:p>
      <w:pPr>
        <w:keepNext w:val="0"/>
        <w:spacing w:before="0" w:after="100" w:line="269" w:lineRule="auto"/>
        <w:ind w:left="187" w:hanging="187"/>
      </w:pPr>
      <w:r>
        <w:rPr>
          <w:rFonts w:ascii="Arial" w:hAnsi="Arial"/>
          <w:b w:val="0"/>
          <w:color w:val="181818"/>
          <w:sz w:val="20"/>
        </w:rPr>
        <w:t>•  Offline workflows require explicit duplicate, conflict, loss, and resynchronization handling</w:t>
      </w:r>
    </w:p>
    <w:p>
      <w:pPr>
        <w:keepNext w:val="0"/>
        <w:spacing w:before="0" w:after="100" w:line="269" w:lineRule="auto"/>
        <w:ind w:left="187" w:hanging="187"/>
      </w:pPr>
      <w:r>
        <w:rPr>
          <w:rFonts w:ascii="Arial" w:hAnsi="Arial"/>
          <w:b w:val="0"/>
          <w:color w:val="181818"/>
          <w:sz w:val="20"/>
        </w:rPr>
        <w:t>•  System integrations depend on available APIs, licenses, data quality, rate limits, and vendor support</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GS1 — GS1 Barcodes</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GS1 — Global Traceability Standard</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GS1 — How GS1 standards work</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www.gs1.org/standards/barcodes" TargetMode="External"/><Relationship Id="rId13" Type="http://schemas.openxmlformats.org/officeDocument/2006/relationships/hyperlink" Target="https://www.gs1.org/standards/gs1-global-traceability-standard/current-standard" TargetMode="External"/><Relationship Id="rId14" Type="http://schemas.openxmlformats.org/officeDocument/2006/relationships/hyperlink" Target="https://www.gs1.org/standards/how-gs1-standards-work" TargetMode="External"/><Relationship Id="rId15" Type="http://schemas.openxmlformats.org/officeDocument/2006/relationships/hyperlink" Target="https://ght.network/services/operational-systems/inventory-workflow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Inventory workflows — Service specification</dc:title>
  <dc:subject>Receiving, put-away, picking, transfer, count, sale, return, and disposal connect through identifiers, labels, scanners, printers, handhelds, wireless coverage, software transactions, and exception handling.</dc:subject>
  <dc:creator>Glass House Technologies</dc:creator>
  <cp:keywords>Operational systems,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