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MANAGED OPERATIONS</w:t>
      </w:r>
    </w:p>
    <w:p>
      <w:pPr>
        <w:keepNext/>
        <w:spacing w:before="0" w:after="180" w:line="269" w:lineRule="auto"/>
      </w:pPr>
      <w:r>
        <w:rPr>
          <w:rFonts w:ascii="Arial" w:hAnsi="Arial"/>
          <w:b/>
          <w:color w:val="181818"/>
          <w:sz w:val="48"/>
        </w:rPr>
        <w:t>Technology lifecycle and refresh</w:t>
      </w:r>
    </w:p>
    <w:p>
      <w:pPr>
        <w:keepNext w:val="0"/>
        <w:spacing w:before="0" w:after="240" w:line="269" w:lineRule="auto"/>
      </w:pPr>
      <w:r>
        <w:rPr>
          <w:rFonts w:ascii="Arial" w:hAnsi="Arial"/>
          <w:b w:val="0"/>
          <w:color w:val="646464"/>
          <w:sz w:val="17"/>
        </w:rPr>
        <w:t>GHT-SVC-035   •   Revision 1.0   •   06 September 2026   •   1 / 3</w:t>
      </w:r>
    </w:p>
    <w:p>
      <w:pPr>
        <w:keepNext w:val="0"/>
        <w:spacing w:before="0" w:after="180" w:line="269" w:lineRule="auto"/>
      </w:pPr>
      <w:r>
        <w:rPr>
          <w:rFonts w:ascii="Arial" w:hAnsi="Arial"/>
          <w:b w:val="0"/>
          <w:color w:val="181818"/>
          <w:sz w:val="22"/>
        </w:rPr>
        <w:t>Asset records, support dates, licenses, vulnerabilities, capacity, failures, spares, compatibility, budgets, staged migration, rollback, data handling, and disposal feed one plan.</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risk-ranked replacement plan with budget timing, compatibility evidence, staged configurations, recoverable backups, acceptance tests, and updated records.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An asset reaches refresh priority through more than age. Vendor support, security exposure, failure history, capacity, environmental condition, spare availability, license status, compatibility, configuration recoverability, service criticality, and upcoming business change all affect the decision.</w:t>
      </w:r>
    </w:p>
    <w:p>
      <w:pPr>
        <w:keepNext w:val="0"/>
        <w:spacing w:before="0" w:after="120" w:line="269" w:lineRule="auto"/>
      </w:pPr>
      <w:r>
        <w:rPr>
          <w:rFonts w:ascii="Arial" w:hAnsi="Arial"/>
          <w:b w:val="0"/>
          <w:color w:val="181818"/>
          <w:sz w:val="20"/>
        </w:rPr>
        <w:t>A refresh is a migration, not a swap. It needs configuration capture, dependency mapping, compatibility review, staging, change approval, maintenance window, rollback, acceptance tests, disposal or data sanitization, and documentation update.</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Portfolio truth</w:t>
            </w:r>
          </w:p>
        </w:tc>
        <w:tc>
          <w:tcPr>
            <w:tcW w:type="dxa" w:w="7200"/>
            <w:shd w:fill="F4F1E9"/>
          </w:tcPr>
          <w:p>
            <w:pPr>
              <w:spacing w:before="100" w:after="100"/>
            </w:pPr>
            <w:r>
              <w:rPr>
                <w:rFonts w:ascii="Arial" w:hAnsi="Arial"/>
                <w:sz w:val="18"/>
              </w:rPr>
              <w:t>Asset, owner, site, dependency, version, support, license, configuration and cost</w:t>
            </w:r>
          </w:p>
        </w:tc>
      </w:tr>
      <w:tr>
        <w:tc>
          <w:tcPr>
            <w:tcW w:type="dxa" w:w="2160"/>
            <w:shd w:fill="FFFFFF"/>
          </w:tcPr>
          <w:p>
            <w:pPr>
              <w:spacing w:before="100" w:after="100"/>
            </w:pPr>
            <w:r>
              <w:rPr>
                <w:rFonts w:ascii="Arial" w:hAnsi="Arial"/>
                <w:b/>
                <w:sz w:val="18"/>
              </w:rPr>
              <w:t>02  Risk and priority</w:t>
            </w:r>
          </w:p>
        </w:tc>
        <w:tc>
          <w:tcPr>
            <w:tcW w:type="dxa" w:w="7200"/>
            <w:shd w:fill="FFFFFF"/>
          </w:tcPr>
          <w:p>
            <w:pPr>
              <w:spacing w:before="100" w:after="100"/>
            </w:pPr>
            <w:r>
              <w:rPr>
                <w:rFonts w:ascii="Arial" w:hAnsi="Arial"/>
                <w:sz w:val="18"/>
              </w:rPr>
              <w:t>Criticality, vulnerability, condition, capacity, incident, spare, lead time and change</w:t>
            </w:r>
          </w:p>
        </w:tc>
      </w:tr>
      <w:tr>
        <w:tc>
          <w:tcPr>
            <w:tcW w:type="dxa" w:w="2160"/>
            <w:shd w:fill="F4F1E9"/>
          </w:tcPr>
          <w:p>
            <w:pPr>
              <w:spacing w:before="100" w:after="100"/>
            </w:pPr>
            <w:r>
              <w:rPr>
                <w:rFonts w:ascii="Arial" w:hAnsi="Arial"/>
                <w:b/>
                <w:sz w:val="18"/>
              </w:rPr>
              <w:t>03  Migration</w:t>
            </w:r>
          </w:p>
        </w:tc>
        <w:tc>
          <w:tcPr>
            <w:tcW w:type="dxa" w:w="7200"/>
            <w:shd w:fill="F4F1E9"/>
          </w:tcPr>
          <w:p>
            <w:pPr>
              <w:spacing w:before="100" w:after="100"/>
            </w:pPr>
            <w:r>
              <w:rPr>
                <w:rFonts w:ascii="Arial" w:hAnsi="Arial"/>
                <w:sz w:val="18"/>
              </w:rPr>
              <w:t>Compatibility, staging, maintenance, configuration, backup, test and rollback</w:t>
            </w:r>
          </w:p>
        </w:tc>
      </w:tr>
      <w:tr>
        <w:tc>
          <w:tcPr>
            <w:tcW w:type="dxa" w:w="2160"/>
            <w:shd w:fill="FFFFFF"/>
          </w:tcPr>
          <w:p>
            <w:pPr>
              <w:spacing w:before="100" w:after="100"/>
            </w:pPr>
            <w:r>
              <w:rPr>
                <w:rFonts w:ascii="Arial" w:hAnsi="Arial"/>
                <w:b/>
                <w:sz w:val="18"/>
              </w:rPr>
              <w:t>04  Retirement</w:t>
            </w:r>
          </w:p>
        </w:tc>
        <w:tc>
          <w:tcPr>
            <w:tcW w:type="dxa" w:w="7200"/>
            <w:shd w:fill="FFFFFF"/>
          </w:tcPr>
          <w:p>
            <w:pPr>
              <w:spacing w:before="100" w:after="100"/>
            </w:pPr>
            <w:r>
              <w:rPr>
                <w:rFonts w:ascii="Arial" w:hAnsi="Arial"/>
                <w:sz w:val="18"/>
              </w:rPr>
              <w:t>Access removal, data handling, record update, reuse, return, recycling and disposal</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Critical devices are unsupported, unlicensed, unpatchable, capacity-bound, or without recoverable configuration</w:t>
      </w:r>
    </w:p>
    <w:p>
      <w:pPr>
        <w:keepNext w:val="0"/>
        <w:spacing w:before="0" w:after="100" w:line="269" w:lineRule="auto"/>
        <w:ind w:left="187" w:hanging="187"/>
      </w:pPr>
      <w:r>
        <w:rPr>
          <w:rFonts w:ascii="Arial" w:hAnsi="Arial"/>
          <w:b w:val="0"/>
          <w:color w:val="181818"/>
          <w:sz w:val="20"/>
        </w:rPr>
        <w:t>•  Failure history and emergency purchases are rising</w:t>
      </w:r>
    </w:p>
    <w:p>
      <w:pPr>
        <w:keepNext w:val="0"/>
        <w:spacing w:before="0" w:after="100" w:line="269" w:lineRule="auto"/>
        <w:ind w:left="187" w:hanging="187"/>
      </w:pPr>
      <w:r>
        <w:rPr>
          <w:rFonts w:ascii="Arial" w:hAnsi="Arial"/>
          <w:b w:val="0"/>
          <w:color w:val="181818"/>
          <w:sz w:val="20"/>
        </w:rPr>
        <w:t>•  No one can identify which services, sites, links, credentials, or vendors depend on an asset</w:t>
      </w:r>
    </w:p>
    <w:p>
      <w:pPr>
        <w:keepNext w:val="0"/>
        <w:spacing w:before="0" w:after="100" w:line="269" w:lineRule="auto"/>
        <w:ind w:left="187" w:hanging="187"/>
      </w:pPr>
      <w:r>
        <w:rPr>
          <w:rFonts w:ascii="Arial" w:hAnsi="Arial"/>
          <w:b w:val="0"/>
          <w:color w:val="181818"/>
          <w:sz w:val="20"/>
        </w:rPr>
        <w:t>•  Budget planning starts only after a failure or end-of-sale notice</w:t>
      </w:r>
    </w:p>
    <w:p>
      <w:r>
        <w:br w:type="page"/>
      </w:r>
    </w:p>
    <w:p>
      <w:pPr>
        <w:keepNext/>
        <w:spacing w:before="1200" w:after="160" w:line="269" w:lineRule="auto"/>
      </w:pPr>
      <w:r>
        <w:rPr>
          <w:rFonts w:ascii="Arial" w:hAnsi="Arial"/>
          <w:b/>
          <w:color w:val="9B792B"/>
          <w:sz w:val="18"/>
        </w:rPr>
        <w:t>GHT-SVC-035 / TECHNOLOGY LIFECYCLE AND REFRESH</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Build lifecycle truth</w:t>
      </w:r>
    </w:p>
    <w:p>
      <w:pPr>
        <w:keepNext w:val="0"/>
        <w:spacing w:before="0" w:after="80" w:line="269" w:lineRule="auto"/>
      </w:pPr>
      <w:r>
        <w:rPr>
          <w:rFonts w:ascii="Arial" w:hAnsi="Arial"/>
          <w:b w:val="0"/>
          <w:color w:val="181818"/>
          <w:sz w:val="20"/>
        </w:rPr>
        <w:t>Reconcile assets, sites, owners, models, versions, support, licenses, warranties, configurations, capacity, incidents, vulnerabilities, spares, dependencies, and costs.</w:t>
      </w:r>
    </w:p>
    <w:p>
      <w:pPr>
        <w:keepNext w:val="0"/>
        <w:spacing w:before="0" w:after="140" w:line="269" w:lineRule="auto"/>
      </w:pPr>
      <w:r>
        <w:rPr>
          <w:rFonts w:ascii="Arial" w:hAnsi="Arial"/>
          <w:b/>
          <w:color w:val="181818"/>
          <w:sz w:val="18"/>
        </w:rPr>
        <w:t>Acceptance evidence: Verified asset and dependency inventory with evidence date, support and license state, configuration status, and unresolved gaps.</w:t>
      </w:r>
    </w:p>
    <w:p>
      <w:pPr>
        <w:keepNext/>
        <w:spacing w:before="200" w:after="120" w:line="269" w:lineRule="auto"/>
      </w:pPr>
      <w:r>
        <w:rPr>
          <w:rFonts w:ascii="Arial" w:hAnsi="Arial"/>
          <w:b/>
          <w:color w:val="9B792B"/>
          <w:sz w:val="24"/>
        </w:rPr>
        <w:t>02  Prioritize and sequence</w:t>
      </w:r>
    </w:p>
    <w:p>
      <w:pPr>
        <w:keepNext w:val="0"/>
        <w:spacing w:before="0" w:after="80" w:line="269" w:lineRule="auto"/>
      </w:pPr>
      <w:r>
        <w:rPr>
          <w:rFonts w:ascii="Arial" w:hAnsi="Arial"/>
          <w:b w:val="0"/>
          <w:color w:val="181818"/>
          <w:sz w:val="20"/>
        </w:rPr>
        <w:t>Score service criticality, support, exploit evidence, condition, capacity, recurrence, recoverability, compatibility, lead time, cost, and business change; group work into migration waves.</w:t>
      </w:r>
    </w:p>
    <w:p>
      <w:pPr>
        <w:keepNext w:val="0"/>
        <w:spacing w:before="0" w:after="140" w:line="269" w:lineRule="auto"/>
      </w:pPr>
      <w:r>
        <w:rPr>
          <w:rFonts w:ascii="Arial" w:hAnsi="Arial"/>
          <w:b/>
          <w:color w:val="181818"/>
          <w:sz w:val="18"/>
        </w:rPr>
        <w:t>Acceptance evidence: Risk-ranked roadmap, decision rationale, budget ranges, compatibility questions, dependency order, and target windows.</w:t>
      </w:r>
    </w:p>
    <w:p>
      <w:pPr>
        <w:keepNext/>
        <w:spacing w:before="200" w:after="120" w:line="269" w:lineRule="auto"/>
      </w:pPr>
      <w:r>
        <w:rPr>
          <w:rFonts w:ascii="Arial" w:hAnsi="Arial"/>
          <w:b/>
          <w:color w:val="9B792B"/>
          <w:sz w:val="24"/>
        </w:rPr>
        <w:t>03  Stage and migrate</w:t>
      </w:r>
    </w:p>
    <w:p>
      <w:pPr>
        <w:keepNext w:val="0"/>
        <w:spacing w:before="0" w:after="80" w:line="269" w:lineRule="auto"/>
      </w:pPr>
      <w:r>
        <w:rPr>
          <w:rFonts w:ascii="Arial" w:hAnsi="Arial"/>
          <w:b w:val="0"/>
          <w:color w:val="181818"/>
          <w:sz w:val="20"/>
        </w:rPr>
        <w:t>Select supported replacements, validate compatibility and licensing, capture backups, bench and update equipment, prebuild configuration, approve change, and preserve rollback.</w:t>
      </w:r>
    </w:p>
    <w:p>
      <w:pPr>
        <w:keepNext w:val="0"/>
        <w:spacing w:before="0" w:after="140" w:line="269" w:lineRule="auto"/>
      </w:pPr>
      <w:r>
        <w:rPr>
          <w:rFonts w:ascii="Arial" w:hAnsi="Arial"/>
          <w:b/>
          <w:color w:val="181818"/>
          <w:sz w:val="18"/>
        </w:rPr>
        <w:t>Acceptance evidence: Bill of materials, support evidence, staged configuration, backup and restore check, test results, change plan, and rollback gate.</w:t>
      </w:r>
    </w:p>
    <w:p>
      <w:pPr>
        <w:keepNext/>
        <w:spacing w:before="200" w:after="120" w:line="269" w:lineRule="auto"/>
      </w:pPr>
      <w:r>
        <w:rPr>
          <w:rFonts w:ascii="Arial" w:hAnsi="Arial"/>
          <w:b/>
          <w:color w:val="9B792B"/>
          <w:sz w:val="24"/>
        </w:rPr>
        <w:t>04  Accept and retire</w:t>
      </w:r>
    </w:p>
    <w:p>
      <w:pPr>
        <w:keepNext w:val="0"/>
        <w:spacing w:before="0" w:after="80" w:line="269" w:lineRule="auto"/>
      </w:pPr>
      <w:r>
        <w:rPr>
          <w:rFonts w:ascii="Arial" w:hAnsi="Arial"/>
          <w:b w:val="0"/>
          <w:color w:val="181818"/>
          <w:sz w:val="20"/>
        </w:rPr>
        <w:t>Test services, performance, management, alerts, failover where scoped, and user workflow; update records; remove access; sanitize data as required; and process return, reuse, recycling, or disposal.</w:t>
      </w:r>
    </w:p>
    <w:p>
      <w:pPr>
        <w:keepNext w:val="0"/>
        <w:spacing w:before="0" w:after="140" w:line="269" w:lineRule="auto"/>
      </w:pPr>
      <w:r>
        <w:rPr>
          <w:rFonts w:ascii="Arial" w:hAnsi="Arial"/>
          <w:b/>
          <w:color w:val="181818"/>
          <w:sz w:val="18"/>
        </w:rPr>
        <w:t>Acceptance evidence: Acceptance results, owner signoff, updated as-builts and assets, configuration archive, access revocation, and disposition record.</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Verified lifecycle and dependency inventory</w:t>
      </w:r>
    </w:p>
    <w:p>
      <w:pPr>
        <w:keepNext w:val="0"/>
        <w:spacing w:before="0" w:after="100" w:line="269" w:lineRule="auto"/>
        <w:ind w:left="187" w:hanging="187"/>
      </w:pPr>
      <w:r>
        <w:rPr>
          <w:rFonts w:ascii="Arial" w:hAnsi="Arial"/>
          <w:b w:val="0"/>
          <w:color w:val="181818"/>
          <w:sz w:val="20"/>
        </w:rPr>
        <w:t>•  Risk-ranked multi-period refresh roadmap and decision rationale</w:t>
      </w:r>
    </w:p>
    <w:p>
      <w:pPr>
        <w:keepNext w:val="0"/>
        <w:spacing w:before="0" w:after="100" w:line="269" w:lineRule="auto"/>
        <w:ind w:left="187" w:hanging="187"/>
      </w:pPr>
      <w:r>
        <w:rPr>
          <w:rFonts w:ascii="Arial" w:hAnsi="Arial"/>
          <w:b w:val="0"/>
          <w:color w:val="181818"/>
          <w:sz w:val="20"/>
        </w:rPr>
        <w:t>•  Budget, procurement, compatibility, standard, and exception plan</w:t>
      </w:r>
    </w:p>
    <w:p>
      <w:pPr>
        <w:keepNext w:val="0"/>
        <w:spacing w:before="0" w:after="100" w:line="269" w:lineRule="auto"/>
        <w:ind w:left="187" w:hanging="187"/>
      </w:pPr>
      <w:r>
        <w:rPr>
          <w:rFonts w:ascii="Arial" w:hAnsi="Arial"/>
          <w:b w:val="0"/>
          <w:color w:val="181818"/>
          <w:sz w:val="20"/>
        </w:rPr>
        <w:t>•  Staging, backup, migration, rollback, and acceptance evidence</w:t>
      </w:r>
    </w:p>
    <w:p>
      <w:pPr>
        <w:keepNext w:val="0"/>
        <w:spacing w:before="0" w:after="100" w:line="269" w:lineRule="auto"/>
        <w:ind w:left="187" w:hanging="187"/>
      </w:pPr>
      <w:r>
        <w:rPr>
          <w:rFonts w:ascii="Arial" w:hAnsi="Arial"/>
          <w:b w:val="0"/>
          <w:color w:val="181818"/>
          <w:sz w:val="20"/>
        </w:rPr>
        <w:t>•  Updated as-builts and asset records, configuration archive, access revocation, and disposition record</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GHT-SVC-035 / TECHNOLOGY LIFECYCLE AND REFRESH</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Asset, owner, location, model, serial, version, support, license, warranty, and condition</w:t>
      </w:r>
    </w:p>
    <w:p>
      <w:pPr>
        <w:keepNext w:val="0"/>
        <w:spacing w:before="0" w:after="100" w:line="269" w:lineRule="auto"/>
        <w:ind w:left="187" w:hanging="187"/>
      </w:pPr>
      <w:r>
        <w:rPr>
          <w:rFonts w:ascii="Arial" w:hAnsi="Arial"/>
          <w:b w:val="0"/>
          <w:color w:val="181818"/>
          <w:sz w:val="20"/>
        </w:rPr>
        <w:t>•  Service dependency, criticality, redundancy, capacity, incidents, vulnerabilities, and configuration recovery</w:t>
      </w:r>
    </w:p>
    <w:p>
      <w:pPr>
        <w:keepNext w:val="0"/>
        <w:spacing w:before="0" w:after="100" w:line="269" w:lineRule="auto"/>
        <w:ind w:left="187" w:hanging="187"/>
      </w:pPr>
      <w:r>
        <w:rPr>
          <w:rFonts w:ascii="Arial" w:hAnsi="Arial"/>
          <w:b w:val="0"/>
          <w:color w:val="181818"/>
          <w:sz w:val="20"/>
        </w:rPr>
        <w:t>•  Compatibility, subscriptions, integrations, standards, spares, lead time, skills, and vendor support</w:t>
      </w:r>
    </w:p>
    <w:p>
      <w:pPr>
        <w:keepNext w:val="0"/>
        <w:spacing w:before="0" w:after="100" w:line="269" w:lineRule="auto"/>
        <w:ind w:left="187" w:hanging="187"/>
      </w:pPr>
      <w:r>
        <w:rPr>
          <w:rFonts w:ascii="Arial" w:hAnsi="Arial"/>
          <w:b w:val="0"/>
          <w:color w:val="181818"/>
          <w:sz w:val="20"/>
        </w:rPr>
        <w:t>•  Budget cycle, procurement, maintenance windows, change freezes, staging, tests, and rollback</w:t>
      </w:r>
    </w:p>
    <w:p>
      <w:pPr>
        <w:keepNext w:val="0"/>
        <w:spacing w:before="0" w:after="100" w:line="269" w:lineRule="auto"/>
        <w:ind w:left="187" w:hanging="187"/>
      </w:pPr>
      <w:r>
        <w:rPr>
          <w:rFonts w:ascii="Arial" w:hAnsi="Arial"/>
          <w:b w:val="0"/>
          <w:color w:val="181818"/>
          <w:sz w:val="20"/>
        </w:rPr>
        <w:t>•  Access revocation, configuration archive, data sanitization, return, reuse, recycling, disposal, and record retention</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End-of-sale, end-of-support, vulnerability, warranty, and license dates can change and require current manufacturer or publisher verification</w:t>
      </w:r>
    </w:p>
    <w:p>
      <w:pPr>
        <w:keepNext w:val="0"/>
        <w:spacing w:before="0" w:after="100" w:line="269" w:lineRule="auto"/>
        <w:ind w:left="187" w:hanging="187"/>
      </w:pPr>
      <w:r>
        <w:rPr>
          <w:rFonts w:ascii="Arial" w:hAnsi="Arial"/>
          <w:b w:val="0"/>
          <w:color w:val="181818"/>
          <w:sz w:val="20"/>
        </w:rPr>
        <w:t>•  Replacement can expose hidden dependencies, unsupported integrations, undocumented configuration, lead-time, and maintenance-window limits</w:t>
      </w:r>
    </w:p>
    <w:p>
      <w:pPr>
        <w:keepNext w:val="0"/>
        <w:spacing w:before="0" w:after="100" w:line="269" w:lineRule="auto"/>
        <w:ind w:left="187" w:hanging="187"/>
      </w:pPr>
      <w:r>
        <w:rPr>
          <w:rFonts w:ascii="Arial" w:hAnsi="Arial"/>
          <w:b w:val="0"/>
          <w:color w:val="181818"/>
          <w:sz w:val="20"/>
        </w:rPr>
        <w:t>•  A newer model does not guarantee compatibility, capacity, security, or a lower operating cost</w:t>
      </w:r>
    </w:p>
    <w:p>
      <w:pPr>
        <w:keepNext w:val="0"/>
        <w:spacing w:before="0" w:after="100" w:line="269" w:lineRule="auto"/>
        <w:ind w:left="187" w:hanging="187"/>
      </w:pPr>
      <w:r>
        <w:rPr>
          <w:rFonts w:ascii="Arial" w:hAnsi="Arial"/>
          <w:b w:val="0"/>
          <w:color w:val="181818"/>
          <w:sz w:val="20"/>
        </w:rPr>
        <w:t>•  Disposal and reuse may require data sanitization, environmental handling, lease return, customer ownership, or regulated record controls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National Institute of Standards and Technology — SP 800-40 Rev. 4: Enterprise Patch Management Planning</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Cybersecurity and Infrastructure Security Agency — Known Exploited Vulnerabilities Catalog</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National Institute of Standards and Technology — SP 800-128: Security-Focused Configuration Management</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International Organization for Standardization — ISO 55000:2024: Asset management overview and principles</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csrc.nist.gov/pubs/sp/800/40/r4/final" TargetMode="External"/><Relationship Id="rId13" Type="http://schemas.openxmlformats.org/officeDocument/2006/relationships/hyperlink" Target="https://www.cisa.gov/known-exploited-vulnerabilities-catalog" TargetMode="External"/><Relationship Id="rId14" Type="http://schemas.openxmlformats.org/officeDocument/2006/relationships/hyperlink" Target="https://csrc.nist.gov/pubs/sp/800/128/upd1/final" TargetMode="External"/><Relationship Id="rId15" Type="http://schemas.openxmlformats.org/officeDocument/2006/relationships/hyperlink" Target="https://www.iso.org/standard/83053.html" TargetMode="External"/><Relationship Id="rId16" Type="http://schemas.openxmlformats.org/officeDocument/2006/relationships/hyperlink" Target="https://ght.network/services/managed-operations/lifecycle-refres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Technology lifecycle and refresh — Service specification</dc:title>
  <dc:subject>Asset records, support dates, licenses, vulnerabilities, capacity, failures, spares, compatibility, budgets, staged migration, rollback, data handling, and disposal feed one plan.</dc:subject>
  <dc:creator>Glass House Technologies</dc:creator>
  <cp:keywords>Managed operations,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