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INFRASTRUCTURE</w:t>
      </w:r>
    </w:p>
    <w:p>
      <w:pPr>
        <w:keepNext/>
        <w:spacing w:before="0" w:after="180" w:line="269" w:lineRule="auto"/>
      </w:pPr>
      <w:r>
        <w:rPr>
          <w:rFonts w:ascii="Arial" w:hAnsi="Arial"/>
          <w:b/>
          <w:color w:val="181818"/>
          <w:sz w:val="48"/>
        </w:rPr>
        <w:t>Moves, adds, changes, audits and remediation</w:t>
      </w:r>
    </w:p>
    <w:p>
      <w:pPr>
        <w:keepNext w:val="0"/>
        <w:spacing w:before="0" w:after="240" w:line="269" w:lineRule="auto"/>
      </w:pPr>
      <w:r>
        <w:rPr>
          <w:rFonts w:ascii="Arial" w:hAnsi="Arial"/>
          <w:b w:val="0"/>
          <w:color w:val="646464"/>
          <w:sz w:val="17"/>
        </w:rPr>
        <w:t>GHT-SVC-004   •   Revision 1.0   •   06 September 2026   •   1 / 3</w:t>
      </w:r>
    </w:p>
    <w:p>
      <w:pPr>
        <w:keepNext w:val="0"/>
        <w:spacing w:before="0" w:after="180" w:line="269" w:lineRule="auto"/>
      </w:pPr>
      <w:r>
        <w:rPr>
          <w:rFonts w:ascii="Arial" w:hAnsi="Arial"/>
          <w:b w:val="0"/>
          <w:color w:val="181818"/>
          <w:sz w:val="22"/>
        </w:rPr>
        <w:t>Moves, additions, repairs, tracing, testing, abandoned-cable review, network-room cleanup, and records updates for existing cabling.</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verified before-and-after record, tested affected links, corrected labels, and an exception list for work that remains.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 MAC request is small only when dependencies are known. Port capacity, VLAN or voice assignment, cable route, furniture, work hours and endpoint readiness can turn a simple move into a service-risk event.</w:t>
      </w:r>
    </w:p>
    <w:p>
      <w:pPr>
        <w:keepNext w:val="0"/>
        <w:spacing w:before="0" w:after="120" w:line="269" w:lineRule="auto"/>
      </w:pPr>
      <w:r>
        <w:rPr>
          <w:rFonts w:ascii="Arial" w:hAnsi="Arial"/>
          <w:b w:val="0"/>
          <w:color w:val="181818"/>
          <w:sz w:val="20"/>
        </w:rPr>
        <w:t>An audit records observed state and evidence. It does not certify concealed conditions or convert assumptions into as-builts. Remediation priorities should separate immediate defects, operational risks and orderly cleanup.</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Observed state</w:t>
            </w:r>
          </w:p>
        </w:tc>
        <w:tc>
          <w:tcPr>
            <w:tcW w:type="dxa" w:w="7200"/>
            <w:shd w:fill="F4F1E9"/>
          </w:tcPr>
          <w:p>
            <w:pPr>
              <w:spacing w:before="100" w:after="100"/>
            </w:pPr>
            <w:r>
              <w:rPr>
                <w:rFonts w:ascii="Arial" w:hAnsi="Arial"/>
                <w:sz w:val="18"/>
              </w:rPr>
              <w:t>What can be traced and evidenced before change</w:t>
            </w:r>
          </w:p>
        </w:tc>
      </w:tr>
      <w:tr>
        <w:tc>
          <w:tcPr>
            <w:tcW w:type="dxa" w:w="2160"/>
            <w:shd w:fill="FFFFFF"/>
          </w:tcPr>
          <w:p>
            <w:pPr>
              <w:spacing w:before="100" w:after="100"/>
            </w:pPr>
            <w:r>
              <w:rPr>
                <w:rFonts w:ascii="Arial" w:hAnsi="Arial"/>
                <w:b/>
                <w:sz w:val="18"/>
              </w:rPr>
              <w:t>02  Disposition</w:t>
            </w:r>
          </w:p>
        </w:tc>
        <w:tc>
          <w:tcPr>
            <w:tcW w:type="dxa" w:w="7200"/>
            <w:shd w:fill="FFFFFF"/>
          </w:tcPr>
          <w:p>
            <w:pPr>
              <w:spacing w:before="100" w:after="100"/>
            </w:pPr>
            <w:r>
              <w:rPr>
                <w:rFonts w:ascii="Arial" w:hAnsi="Arial"/>
                <w:sz w:val="18"/>
              </w:rPr>
              <w:t>Retain, repair, relocate, remove or investigate</w:t>
            </w:r>
          </w:p>
        </w:tc>
      </w:tr>
      <w:tr>
        <w:tc>
          <w:tcPr>
            <w:tcW w:type="dxa" w:w="2160"/>
            <w:shd w:fill="F4F1E9"/>
          </w:tcPr>
          <w:p>
            <w:pPr>
              <w:spacing w:before="100" w:after="100"/>
            </w:pPr>
            <w:r>
              <w:rPr>
                <w:rFonts w:ascii="Arial" w:hAnsi="Arial"/>
                <w:b/>
                <w:sz w:val="18"/>
              </w:rPr>
              <w:t>03  Controlled change</w:t>
            </w:r>
          </w:p>
        </w:tc>
        <w:tc>
          <w:tcPr>
            <w:tcW w:type="dxa" w:w="7200"/>
            <w:shd w:fill="F4F1E9"/>
          </w:tcPr>
          <w:p>
            <w:pPr>
              <w:spacing w:before="100" w:after="100"/>
            </w:pPr>
            <w:r>
              <w:rPr>
                <w:rFonts w:ascii="Arial" w:hAnsi="Arial"/>
                <w:sz w:val="18"/>
              </w:rPr>
              <w:t>Sequenced work with impact and rollback notes</w:t>
            </w:r>
          </w:p>
        </w:tc>
      </w:tr>
      <w:tr>
        <w:tc>
          <w:tcPr>
            <w:tcW w:type="dxa" w:w="2160"/>
            <w:shd w:fill="FFFFFF"/>
          </w:tcPr>
          <w:p>
            <w:pPr>
              <w:spacing w:before="100" w:after="100"/>
            </w:pPr>
            <w:r>
              <w:rPr>
                <w:rFonts w:ascii="Arial" w:hAnsi="Arial"/>
                <w:b/>
                <w:sz w:val="18"/>
              </w:rPr>
              <w:t>04  Updated record</w:t>
            </w:r>
          </w:p>
        </w:tc>
        <w:tc>
          <w:tcPr>
            <w:tcW w:type="dxa" w:w="7200"/>
            <w:shd w:fill="FFFFFF"/>
          </w:tcPr>
          <w:p>
            <w:pPr>
              <w:spacing w:before="100" w:after="100"/>
            </w:pPr>
            <w:r>
              <w:rPr>
                <w:rFonts w:ascii="Arial" w:hAnsi="Arial"/>
                <w:sz w:val="18"/>
              </w:rPr>
              <w:t>Final labels, tests, photos and remaining exceptions</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Ports, outlets or patching cannot be traced</w:t>
      </w:r>
    </w:p>
    <w:p>
      <w:pPr>
        <w:keepNext w:val="0"/>
        <w:spacing w:before="0" w:after="100" w:line="269" w:lineRule="auto"/>
        <w:ind w:left="187" w:hanging="187"/>
      </w:pPr>
      <w:r>
        <w:rPr>
          <w:rFonts w:ascii="Arial" w:hAnsi="Arial"/>
          <w:b w:val="0"/>
          <w:color w:val="181818"/>
          <w:sz w:val="20"/>
        </w:rPr>
        <w:t>•  A move or refresh depends on undocumented services</w:t>
      </w:r>
    </w:p>
    <w:p>
      <w:pPr>
        <w:keepNext w:val="0"/>
        <w:spacing w:before="0" w:after="100" w:line="269" w:lineRule="auto"/>
        <w:ind w:left="187" w:hanging="187"/>
      </w:pPr>
      <w:r>
        <w:rPr>
          <w:rFonts w:ascii="Arial" w:hAnsi="Arial"/>
          <w:b w:val="0"/>
          <w:color w:val="181818"/>
          <w:sz w:val="20"/>
        </w:rPr>
        <w:t>•  Abandoned cable or failed links obstruct active infrastructure</w:t>
      </w:r>
    </w:p>
    <w:p>
      <w:pPr>
        <w:keepNext w:val="0"/>
        <w:spacing w:before="0" w:after="100" w:line="269" w:lineRule="auto"/>
        <w:ind w:left="187" w:hanging="187"/>
      </w:pPr>
      <w:r>
        <w:rPr>
          <w:rFonts w:ascii="Arial" w:hAnsi="Arial"/>
          <w:b w:val="0"/>
          <w:color w:val="181818"/>
          <w:sz w:val="20"/>
        </w:rPr>
        <w:t>•  Multiple sites need the same audit and closeout format</w:t>
      </w:r>
    </w:p>
    <w:p>
      <w:r>
        <w:br w:type="page"/>
      </w:r>
    </w:p>
    <w:p>
      <w:pPr>
        <w:keepNext/>
        <w:spacing w:before="1200" w:after="160" w:line="269" w:lineRule="auto"/>
      </w:pPr>
      <w:r>
        <w:rPr>
          <w:rFonts w:ascii="Arial" w:hAnsi="Arial"/>
          <w:b/>
          <w:color w:val="9B792B"/>
          <w:sz w:val="18"/>
        </w:rPr>
        <w:t>GHT-SVC-004 / MOVES, ADDS, CHANGES, AUDITS AND REMEDIATION</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Establish current state</w:t>
      </w:r>
    </w:p>
    <w:p>
      <w:pPr>
        <w:keepNext w:val="0"/>
        <w:spacing w:before="0" w:after="80" w:line="269" w:lineRule="auto"/>
      </w:pPr>
      <w:r>
        <w:rPr>
          <w:rFonts w:ascii="Arial" w:hAnsi="Arial"/>
          <w:b w:val="0"/>
          <w:color w:val="181818"/>
          <w:sz w:val="20"/>
        </w:rPr>
        <w:t>Trace affected endpoints, ports, pathways, services and visible condition.</w:t>
      </w:r>
    </w:p>
    <w:p>
      <w:pPr>
        <w:keepNext w:val="0"/>
        <w:spacing w:before="0" w:after="140" w:line="269" w:lineRule="auto"/>
      </w:pPr>
      <w:r>
        <w:rPr>
          <w:rFonts w:ascii="Arial" w:hAnsi="Arial"/>
          <w:b/>
          <w:color w:val="181818"/>
          <w:sz w:val="18"/>
        </w:rPr>
        <w:t>Acceptance evidence: Before photos, trace table and unknowns list</w:t>
      </w:r>
    </w:p>
    <w:p>
      <w:pPr>
        <w:keepNext/>
        <w:spacing w:before="200" w:after="120" w:line="269" w:lineRule="auto"/>
      </w:pPr>
      <w:r>
        <w:rPr>
          <w:rFonts w:ascii="Arial" w:hAnsi="Arial"/>
          <w:b/>
          <w:color w:val="9B792B"/>
          <w:sz w:val="24"/>
        </w:rPr>
        <w:t>02  Classify change</w:t>
      </w:r>
    </w:p>
    <w:p>
      <w:pPr>
        <w:keepNext w:val="0"/>
        <w:spacing w:before="0" w:after="80" w:line="269" w:lineRule="auto"/>
      </w:pPr>
      <w:r>
        <w:rPr>
          <w:rFonts w:ascii="Arial" w:hAnsi="Arial"/>
          <w:b w:val="0"/>
          <w:color w:val="181818"/>
          <w:sz w:val="20"/>
        </w:rPr>
        <w:t>Separate retain, relocate, add, repair, remove and owner-decision items.</w:t>
      </w:r>
    </w:p>
    <w:p>
      <w:pPr>
        <w:keepNext w:val="0"/>
        <w:spacing w:before="0" w:after="140" w:line="269" w:lineRule="auto"/>
      </w:pPr>
      <w:r>
        <w:rPr>
          <w:rFonts w:ascii="Arial" w:hAnsi="Arial"/>
          <w:b/>
          <w:color w:val="181818"/>
          <w:sz w:val="18"/>
        </w:rPr>
        <w:t>Acceptance evidence: Disposition schedule and impact notes</w:t>
      </w:r>
    </w:p>
    <w:p>
      <w:pPr>
        <w:keepNext/>
        <w:spacing w:before="200" w:after="120" w:line="269" w:lineRule="auto"/>
      </w:pPr>
      <w:r>
        <w:rPr>
          <w:rFonts w:ascii="Arial" w:hAnsi="Arial"/>
          <w:b/>
          <w:color w:val="9B792B"/>
          <w:sz w:val="24"/>
        </w:rPr>
        <w:t>03  Execute controls</w:t>
      </w:r>
    </w:p>
    <w:p>
      <w:pPr>
        <w:keepNext w:val="0"/>
        <w:spacing w:before="0" w:after="80" w:line="269" w:lineRule="auto"/>
      </w:pPr>
      <w:r>
        <w:rPr>
          <w:rFonts w:ascii="Arial" w:hAnsi="Arial"/>
          <w:b w:val="0"/>
          <w:color w:val="181818"/>
          <w:sz w:val="20"/>
        </w:rPr>
        <w:t>Stage labels, patching, testing and rollback around the approved work window.</w:t>
      </w:r>
    </w:p>
    <w:p>
      <w:pPr>
        <w:keepNext w:val="0"/>
        <w:spacing w:before="0" w:after="140" w:line="269" w:lineRule="auto"/>
      </w:pPr>
      <w:r>
        <w:rPr>
          <w:rFonts w:ascii="Arial" w:hAnsi="Arial"/>
          <w:b/>
          <w:color w:val="181818"/>
          <w:sz w:val="18"/>
        </w:rPr>
        <w:t>Acceptance evidence: Change log and tested affected-link results</w:t>
      </w:r>
    </w:p>
    <w:p>
      <w:pPr>
        <w:keepNext/>
        <w:spacing w:before="200" w:after="120" w:line="269" w:lineRule="auto"/>
      </w:pPr>
      <w:r>
        <w:rPr>
          <w:rFonts w:ascii="Arial" w:hAnsi="Arial"/>
          <w:b/>
          <w:color w:val="9B792B"/>
          <w:sz w:val="24"/>
        </w:rPr>
        <w:t>04  Reconcile record</w:t>
      </w:r>
    </w:p>
    <w:p>
      <w:pPr>
        <w:keepNext w:val="0"/>
        <w:spacing w:before="0" w:after="80" w:line="269" w:lineRule="auto"/>
      </w:pPr>
      <w:r>
        <w:rPr>
          <w:rFonts w:ascii="Arial" w:hAnsi="Arial"/>
          <w:b w:val="0"/>
          <w:color w:val="181818"/>
          <w:sz w:val="20"/>
        </w:rPr>
        <w:t>Confirm service, close exceptions and update schedules and photos.</w:t>
      </w:r>
    </w:p>
    <w:p>
      <w:pPr>
        <w:keepNext w:val="0"/>
        <w:spacing w:before="0" w:after="140" w:line="269" w:lineRule="auto"/>
      </w:pPr>
      <w:r>
        <w:rPr>
          <w:rFonts w:ascii="Arial" w:hAnsi="Arial"/>
          <w:b/>
          <w:color w:val="181818"/>
          <w:sz w:val="18"/>
        </w:rPr>
        <w:t>Acceptance evidence: After-state schedule, photos and signed exception list</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Current-state audit table</w:t>
      </w:r>
    </w:p>
    <w:p>
      <w:pPr>
        <w:keepNext w:val="0"/>
        <w:spacing w:before="0" w:after="100" w:line="269" w:lineRule="auto"/>
        <w:ind w:left="187" w:hanging="187"/>
      </w:pPr>
      <w:r>
        <w:rPr>
          <w:rFonts w:ascii="Arial" w:hAnsi="Arial"/>
          <w:b w:val="0"/>
          <w:color w:val="181818"/>
          <w:sz w:val="20"/>
        </w:rPr>
        <w:t>•  Before-and-after photo set</w:t>
      </w:r>
    </w:p>
    <w:p>
      <w:pPr>
        <w:keepNext w:val="0"/>
        <w:spacing w:before="0" w:after="100" w:line="269" w:lineRule="auto"/>
        <w:ind w:left="187" w:hanging="187"/>
      </w:pPr>
      <w:r>
        <w:rPr>
          <w:rFonts w:ascii="Arial" w:hAnsi="Arial"/>
          <w:b w:val="0"/>
          <w:color w:val="181818"/>
          <w:sz w:val="20"/>
        </w:rPr>
        <w:t>•  Disposition and exception register</w:t>
      </w:r>
    </w:p>
    <w:p>
      <w:pPr>
        <w:keepNext w:val="0"/>
        <w:spacing w:before="0" w:after="100" w:line="269" w:lineRule="auto"/>
        <w:ind w:left="187" w:hanging="187"/>
      </w:pPr>
      <w:r>
        <w:rPr>
          <w:rFonts w:ascii="Arial" w:hAnsi="Arial"/>
          <w:b w:val="0"/>
          <w:color w:val="181818"/>
          <w:sz w:val="20"/>
        </w:rPr>
        <w:t>•  Affected-link test results</w:t>
      </w:r>
    </w:p>
    <w:p>
      <w:pPr>
        <w:keepNext w:val="0"/>
        <w:spacing w:before="0" w:after="100" w:line="269" w:lineRule="auto"/>
        <w:ind w:left="187" w:hanging="187"/>
      </w:pPr>
      <w:r>
        <w:rPr>
          <w:rFonts w:ascii="Arial" w:hAnsi="Arial"/>
          <w:b w:val="0"/>
          <w:color w:val="181818"/>
          <w:sz w:val="20"/>
        </w:rPr>
        <w:t>•  Updated port, cable and asset schedule</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GHT-SVC-004 / MOVES, ADDS, CHANGES, AUDITS AND REMEDIATION</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Affected users, devices and business window</w:t>
      </w:r>
    </w:p>
    <w:p>
      <w:pPr>
        <w:keepNext w:val="0"/>
        <w:spacing w:before="0" w:after="100" w:line="269" w:lineRule="auto"/>
        <w:ind w:left="187" w:hanging="187"/>
      </w:pPr>
      <w:r>
        <w:rPr>
          <w:rFonts w:ascii="Arial" w:hAnsi="Arial"/>
          <w:b w:val="0"/>
          <w:color w:val="181818"/>
          <w:sz w:val="20"/>
        </w:rPr>
        <w:t>•  Known port, circuit and application dependencies</w:t>
      </w:r>
    </w:p>
    <w:p>
      <w:pPr>
        <w:keepNext w:val="0"/>
        <w:spacing w:before="0" w:after="100" w:line="269" w:lineRule="auto"/>
        <w:ind w:left="187" w:hanging="187"/>
      </w:pPr>
      <w:r>
        <w:rPr>
          <w:rFonts w:ascii="Arial" w:hAnsi="Arial"/>
          <w:b w:val="0"/>
          <w:color w:val="181818"/>
          <w:sz w:val="20"/>
        </w:rPr>
        <w:t>•  Available drawings, schedules and prior test files</w:t>
      </w:r>
    </w:p>
    <w:p>
      <w:pPr>
        <w:keepNext w:val="0"/>
        <w:spacing w:before="0" w:after="100" w:line="269" w:lineRule="auto"/>
        <w:ind w:left="187" w:hanging="187"/>
      </w:pPr>
      <w:r>
        <w:rPr>
          <w:rFonts w:ascii="Arial" w:hAnsi="Arial"/>
          <w:b w:val="0"/>
          <w:color w:val="181818"/>
          <w:sz w:val="20"/>
        </w:rPr>
        <w:t>•  Definition of defect and acceptance criteria</w:t>
      </w:r>
    </w:p>
    <w:p>
      <w:pPr>
        <w:keepNext w:val="0"/>
        <w:spacing w:before="0" w:after="100" w:line="269" w:lineRule="auto"/>
        <w:ind w:left="187" w:hanging="187"/>
      </w:pPr>
      <w:r>
        <w:rPr>
          <w:rFonts w:ascii="Arial" w:hAnsi="Arial"/>
          <w:b w:val="0"/>
          <w:color w:val="181818"/>
          <w:sz w:val="20"/>
        </w:rPr>
        <w:t>•  Removal, disposal and restoration responsibilities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Incomplete records and concealed routes</w:t>
      </w:r>
    </w:p>
    <w:p>
      <w:pPr>
        <w:keepNext w:val="0"/>
        <w:spacing w:before="0" w:after="100" w:line="269" w:lineRule="auto"/>
        <w:ind w:left="187" w:hanging="187"/>
      </w:pPr>
      <w:r>
        <w:rPr>
          <w:rFonts w:ascii="Arial" w:hAnsi="Arial"/>
          <w:b w:val="0"/>
          <w:color w:val="181818"/>
          <w:sz w:val="20"/>
        </w:rPr>
        <w:t>•  Live-service impact during tracing</w:t>
      </w:r>
    </w:p>
    <w:p>
      <w:pPr>
        <w:keepNext w:val="0"/>
        <w:spacing w:before="0" w:after="100" w:line="269" w:lineRule="auto"/>
        <w:ind w:left="187" w:hanging="187"/>
      </w:pPr>
      <w:r>
        <w:rPr>
          <w:rFonts w:ascii="Arial" w:hAnsi="Arial"/>
          <w:b w:val="0"/>
          <w:color w:val="181818"/>
          <w:sz w:val="20"/>
        </w:rPr>
        <w:t>•  Unverified ownership of abandoned material</w:t>
      </w:r>
    </w:p>
    <w:p>
      <w:pPr>
        <w:keepNext w:val="0"/>
        <w:spacing w:before="0" w:after="100" w:line="269" w:lineRule="auto"/>
        <w:ind w:left="187" w:hanging="187"/>
      </w:pPr>
      <w:r>
        <w:rPr>
          <w:rFonts w:ascii="Arial" w:hAnsi="Arial"/>
          <w:b w:val="0"/>
          <w:color w:val="181818"/>
          <w:sz w:val="20"/>
        </w:rPr>
        <w:t>•  Ceiling, furniture, tenant and security access</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Telecommunications Industry Association — TR-42 Telecommunications Cabling Systems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Telecommunications Industry Association — TIA-568: Commercial Building Telecommunications Cabling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BICSI — Telecommunications Distribution Methods Manual</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tiaonline.org/standards/tr-42/" TargetMode="External"/><Relationship Id="rId13" Type="http://schemas.openxmlformats.org/officeDocument/2006/relationships/hyperlink" Target="https://tiaonline.org/standard/tia-568/" TargetMode="External"/><Relationship Id="rId14" Type="http://schemas.openxmlformats.org/officeDocument/2006/relationships/hyperlink" Target="https://shop.bicsi.org/technical-manuals/distribution-design" TargetMode="External"/><Relationship Id="rId15" Type="http://schemas.openxmlformats.org/officeDocument/2006/relationships/hyperlink" Target="https://ght.network/services/physical-infrastructure/mac-audits-remedi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Moves, adds, changes, audits and remediation — Service specification</dc:title>
  <dc:subject>Moves, additions, repairs, tracing, testing, abandoned-cable review, network-room cleanup, and records updates for existing cabling.</dc:subject>
  <dc:creator>Glass House Technologies</dc:creator>
  <cp:keywords>Physical infrastructure,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