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DATA CENTER</w:t>
      </w:r>
    </w:p>
    <w:p>
      <w:pPr>
        <w:keepNext/>
        <w:spacing w:before="0" w:after="180" w:line="269" w:lineRule="auto"/>
      </w:pPr>
      <w:r>
        <w:rPr>
          <w:rFonts w:ascii="Arial" w:hAnsi="Arial"/>
          <w:b/>
          <w:color w:val="181818"/>
          <w:sz w:val="48"/>
        </w:rPr>
        <w:t>Data-center migrations and decommissioning</w:t>
      </w:r>
    </w:p>
    <w:p>
      <w:pPr>
        <w:keepNext w:val="0"/>
        <w:spacing w:before="0" w:after="240" w:line="269" w:lineRule="auto"/>
      </w:pPr>
      <w:r>
        <w:rPr>
          <w:rFonts w:ascii="Arial" w:hAnsi="Arial"/>
          <w:b w:val="0"/>
          <w:color w:val="646464"/>
          <w:sz w:val="17"/>
        </w:rPr>
        <w:t>GHT-SVC-011   •   Revision 1.0   •   06 September 2026   •   1 / 3</w:t>
      </w:r>
    </w:p>
    <w:p>
      <w:pPr>
        <w:keepNext w:val="0"/>
        <w:spacing w:before="0" w:after="180" w:line="269" w:lineRule="auto"/>
      </w:pPr>
      <w:r>
        <w:rPr>
          <w:rFonts w:ascii="Arial" w:hAnsi="Arial"/>
          <w:b w:val="0"/>
          <w:color w:val="181818"/>
          <w:sz w:val="22"/>
        </w:rPr>
        <w:t>Services map to racks, ports, power, and owners; then cutover, validation, rollback, equipment release, media handling, removal, and final record updates run in sequence.</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time-stamped cutover and acceptance record, matched assets and ports, and documented disposition for every released item.</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 migration plan connects logical services to physical ports, cables, power feeds, racks and owners. The sequence should include prerequisites, freeze points, acceptance tests, rollback criteria and escalation roles.</w:t>
      </w:r>
    </w:p>
    <w:p>
      <w:pPr>
        <w:keepNext w:val="0"/>
        <w:spacing w:before="0" w:after="120" w:line="269" w:lineRule="auto"/>
      </w:pPr>
      <w:r>
        <w:rPr>
          <w:rFonts w:ascii="Arial" w:hAnsi="Arial"/>
          <w:b w:val="0"/>
          <w:color w:val="181818"/>
          <w:sz w:val="20"/>
        </w:rPr>
        <w:t>Decommissioning is not bulk removal. Equipment and media require positive identification, authorization and disposition. Data sanitization method and evidence are selected by the asset owner’s information policy and current guidance.</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Source state</w:t>
            </w:r>
          </w:p>
        </w:tc>
        <w:tc>
          <w:tcPr>
            <w:tcW w:type="dxa" w:w="7200"/>
            <w:shd w:fill="F4F1E9"/>
          </w:tcPr>
          <w:p>
            <w:pPr>
              <w:spacing w:before="100" w:after="100"/>
            </w:pPr>
            <w:r>
              <w:rPr>
                <w:rFonts w:ascii="Arial" w:hAnsi="Arial"/>
                <w:sz w:val="18"/>
              </w:rPr>
              <w:t>Services, assets, links and data before the change</w:t>
            </w:r>
          </w:p>
        </w:tc>
      </w:tr>
      <w:tr>
        <w:tc>
          <w:tcPr>
            <w:tcW w:type="dxa" w:w="2160"/>
            <w:shd w:fill="FFFFFF"/>
          </w:tcPr>
          <w:p>
            <w:pPr>
              <w:spacing w:before="100" w:after="100"/>
            </w:pPr>
            <w:r>
              <w:rPr>
                <w:rFonts w:ascii="Arial" w:hAnsi="Arial"/>
                <w:b/>
                <w:sz w:val="18"/>
              </w:rPr>
              <w:t>02  Migration wave</w:t>
            </w:r>
          </w:p>
        </w:tc>
        <w:tc>
          <w:tcPr>
            <w:tcW w:type="dxa" w:w="7200"/>
            <w:shd w:fill="FFFFFF"/>
          </w:tcPr>
          <w:p>
            <w:pPr>
              <w:spacing w:before="100" w:after="100"/>
            </w:pPr>
            <w:r>
              <w:rPr>
                <w:rFonts w:ascii="Arial" w:hAnsi="Arial"/>
                <w:sz w:val="18"/>
              </w:rPr>
              <w:t>Sequenced dependency group with owners and timing</w:t>
            </w:r>
          </w:p>
        </w:tc>
      </w:tr>
      <w:tr>
        <w:tc>
          <w:tcPr>
            <w:tcW w:type="dxa" w:w="2160"/>
            <w:shd w:fill="F4F1E9"/>
          </w:tcPr>
          <w:p>
            <w:pPr>
              <w:spacing w:before="100" w:after="100"/>
            </w:pPr>
            <w:r>
              <w:rPr>
                <w:rFonts w:ascii="Arial" w:hAnsi="Arial"/>
                <w:b/>
                <w:sz w:val="18"/>
              </w:rPr>
              <w:t>03  Target state</w:t>
            </w:r>
          </w:p>
        </w:tc>
        <w:tc>
          <w:tcPr>
            <w:tcW w:type="dxa" w:w="7200"/>
            <w:shd w:fill="F4F1E9"/>
          </w:tcPr>
          <w:p>
            <w:pPr>
              <w:spacing w:before="100" w:after="100"/>
            </w:pPr>
            <w:r>
              <w:rPr>
                <w:rFonts w:ascii="Arial" w:hAnsi="Arial"/>
                <w:sz w:val="18"/>
              </w:rPr>
              <w:t>Expected ports, services and acceptance observations</w:t>
            </w:r>
          </w:p>
        </w:tc>
      </w:tr>
      <w:tr>
        <w:tc>
          <w:tcPr>
            <w:tcW w:type="dxa" w:w="2160"/>
            <w:shd w:fill="FFFFFF"/>
          </w:tcPr>
          <w:p>
            <w:pPr>
              <w:spacing w:before="100" w:after="100"/>
            </w:pPr>
            <w:r>
              <w:rPr>
                <w:rFonts w:ascii="Arial" w:hAnsi="Arial"/>
                <w:b/>
                <w:sz w:val="18"/>
              </w:rPr>
              <w:t>04  Disposition path</w:t>
            </w:r>
          </w:p>
        </w:tc>
        <w:tc>
          <w:tcPr>
            <w:tcW w:type="dxa" w:w="7200"/>
            <w:shd w:fill="FFFFFF"/>
          </w:tcPr>
          <w:p>
            <w:pPr>
              <w:spacing w:before="100" w:after="100"/>
            </w:pPr>
            <w:r>
              <w:rPr>
                <w:rFonts w:ascii="Arial" w:hAnsi="Arial"/>
                <w:sz w:val="18"/>
              </w:rPr>
              <w:t>Reuse, return, sanitize, recycle or authorized destruction</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A site, room, cage or platform is closing</w:t>
      </w:r>
    </w:p>
    <w:p>
      <w:pPr>
        <w:keepNext w:val="0"/>
        <w:spacing w:before="0" w:after="100" w:line="269" w:lineRule="auto"/>
        <w:ind w:left="187" w:hanging="187"/>
      </w:pPr>
      <w:r>
        <w:rPr>
          <w:rFonts w:ascii="Arial" w:hAnsi="Arial"/>
          <w:b w:val="0"/>
          <w:color w:val="181818"/>
          <w:sz w:val="20"/>
        </w:rPr>
        <w:t>•  Equipment must move during a limited outage</w:t>
      </w:r>
    </w:p>
    <w:p>
      <w:pPr>
        <w:keepNext w:val="0"/>
        <w:spacing w:before="0" w:after="100" w:line="269" w:lineRule="auto"/>
        <w:ind w:left="187" w:hanging="187"/>
      </w:pPr>
      <w:r>
        <w:rPr>
          <w:rFonts w:ascii="Arial" w:hAnsi="Arial"/>
          <w:b w:val="0"/>
          <w:color w:val="181818"/>
          <w:sz w:val="20"/>
        </w:rPr>
        <w:t>•  Assets and cables cannot be matched to current services</w:t>
      </w:r>
    </w:p>
    <w:p>
      <w:pPr>
        <w:keepNext w:val="0"/>
        <w:spacing w:before="0" w:after="100" w:line="269" w:lineRule="auto"/>
        <w:ind w:left="187" w:hanging="187"/>
      </w:pPr>
      <w:r>
        <w:rPr>
          <w:rFonts w:ascii="Arial" w:hAnsi="Arial"/>
          <w:b w:val="0"/>
          <w:color w:val="181818"/>
          <w:sz w:val="20"/>
        </w:rPr>
        <w:t>•  Retired media needs controlled sanitization or destruction</w:t>
      </w:r>
    </w:p>
    <w:p>
      <w:r>
        <w:br w:type="page"/>
      </w:r>
    </w:p>
    <w:p>
      <w:pPr>
        <w:keepNext/>
        <w:spacing w:before="1200" w:after="160" w:line="269" w:lineRule="auto"/>
      </w:pPr>
      <w:r>
        <w:rPr>
          <w:rFonts w:ascii="Arial" w:hAnsi="Arial"/>
          <w:b/>
          <w:color w:val="9B792B"/>
          <w:sz w:val="18"/>
        </w:rPr>
        <w:t>GHT-SVC-011 / DATA-CENTER MIGRATIONS AND DECOMMISSIONING</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Discover dependencies</w:t>
      </w:r>
    </w:p>
    <w:p>
      <w:pPr>
        <w:keepNext w:val="0"/>
        <w:spacing w:before="0" w:after="80" w:line="269" w:lineRule="auto"/>
      </w:pPr>
      <w:r>
        <w:rPr>
          <w:rFonts w:ascii="Arial" w:hAnsi="Arial"/>
          <w:b w:val="0"/>
          <w:color w:val="181818"/>
          <w:sz w:val="20"/>
        </w:rPr>
        <w:t>Map services to assets, ports, links, power, owners, vendors and change restrictions.</w:t>
      </w:r>
    </w:p>
    <w:p>
      <w:pPr>
        <w:keepNext w:val="0"/>
        <w:spacing w:before="0" w:after="140" w:line="269" w:lineRule="auto"/>
      </w:pPr>
      <w:r>
        <w:rPr>
          <w:rFonts w:ascii="Arial" w:hAnsi="Arial"/>
          <w:b/>
          <w:color w:val="181818"/>
          <w:sz w:val="18"/>
        </w:rPr>
        <w:t>Acceptance evidence: Dependency matrix, asset/port inventory and unknowns log</w:t>
      </w:r>
    </w:p>
    <w:p>
      <w:pPr>
        <w:keepNext/>
        <w:spacing w:before="200" w:after="120" w:line="269" w:lineRule="auto"/>
      </w:pPr>
      <w:r>
        <w:rPr>
          <w:rFonts w:ascii="Arial" w:hAnsi="Arial"/>
          <w:b/>
          <w:color w:val="9B792B"/>
          <w:sz w:val="24"/>
        </w:rPr>
        <w:t>02  Plan waves and rollback</w:t>
      </w:r>
    </w:p>
    <w:p>
      <w:pPr>
        <w:keepNext w:val="0"/>
        <w:spacing w:before="0" w:after="80" w:line="269" w:lineRule="auto"/>
      </w:pPr>
      <w:r>
        <w:rPr>
          <w:rFonts w:ascii="Arial" w:hAnsi="Arial"/>
          <w:b w:val="0"/>
          <w:color w:val="181818"/>
          <w:sz w:val="20"/>
        </w:rPr>
        <w:t>Group changes, define prerequisites, acceptance tests, stop criteria and recovery paths.</w:t>
      </w:r>
    </w:p>
    <w:p>
      <w:pPr>
        <w:keepNext w:val="0"/>
        <w:spacing w:before="0" w:after="140" w:line="269" w:lineRule="auto"/>
      </w:pPr>
      <w:r>
        <w:rPr>
          <w:rFonts w:ascii="Arial" w:hAnsi="Arial"/>
          <w:b/>
          <w:color w:val="181818"/>
          <w:sz w:val="18"/>
        </w:rPr>
        <w:t>Acceptance evidence: Runbook, responsibility chart and approved rollback criteria</w:t>
      </w:r>
    </w:p>
    <w:p>
      <w:pPr>
        <w:keepNext/>
        <w:spacing w:before="200" w:after="120" w:line="269" w:lineRule="auto"/>
      </w:pPr>
      <w:r>
        <w:rPr>
          <w:rFonts w:ascii="Arial" w:hAnsi="Arial"/>
          <w:b/>
          <w:color w:val="9B792B"/>
          <w:sz w:val="24"/>
        </w:rPr>
        <w:t>03  Execute and validate</w:t>
      </w:r>
    </w:p>
    <w:p>
      <w:pPr>
        <w:keepNext w:val="0"/>
        <w:spacing w:before="0" w:after="80" w:line="269" w:lineRule="auto"/>
      </w:pPr>
      <w:r>
        <w:rPr>
          <w:rFonts w:ascii="Arial" w:hAnsi="Arial"/>
          <w:b w:val="0"/>
          <w:color w:val="181818"/>
          <w:sz w:val="20"/>
        </w:rPr>
        <w:t>Perform each authorized wave, observe services and record deviations before proceeding.</w:t>
      </w:r>
    </w:p>
    <w:p>
      <w:pPr>
        <w:keepNext w:val="0"/>
        <w:spacing w:before="0" w:after="140" w:line="269" w:lineRule="auto"/>
      </w:pPr>
      <w:r>
        <w:rPr>
          <w:rFonts w:ascii="Arial" w:hAnsi="Arial"/>
          <w:b/>
          <w:color w:val="181818"/>
          <w:sz w:val="18"/>
        </w:rPr>
        <w:t>Acceptance evidence: Time-stamped change log and service acceptance results</w:t>
      </w:r>
    </w:p>
    <w:p>
      <w:pPr>
        <w:keepNext/>
        <w:spacing w:before="200" w:after="120" w:line="269" w:lineRule="auto"/>
      </w:pPr>
      <w:r>
        <w:rPr>
          <w:rFonts w:ascii="Arial" w:hAnsi="Arial"/>
          <w:b/>
          <w:color w:val="9B792B"/>
          <w:sz w:val="24"/>
        </w:rPr>
        <w:t>04  Decommission and reconcile</w:t>
      </w:r>
    </w:p>
    <w:p>
      <w:pPr>
        <w:keepNext w:val="0"/>
        <w:spacing w:before="0" w:after="80" w:line="269" w:lineRule="auto"/>
      </w:pPr>
      <w:r>
        <w:rPr>
          <w:rFonts w:ascii="Arial" w:hAnsi="Arial"/>
          <w:b w:val="0"/>
          <w:color w:val="181818"/>
          <w:sz w:val="20"/>
        </w:rPr>
        <w:t>Remove only released assets, control media disposition and restore the space.</w:t>
      </w:r>
    </w:p>
    <w:p>
      <w:pPr>
        <w:keepNext w:val="0"/>
        <w:spacing w:before="0" w:after="140" w:line="269" w:lineRule="auto"/>
      </w:pPr>
      <w:r>
        <w:rPr>
          <w:rFonts w:ascii="Arial" w:hAnsi="Arial"/>
          <w:b/>
          <w:color w:val="181818"/>
          <w:sz w:val="18"/>
        </w:rPr>
        <w:t>Acceptance evidence: Disposition/chain record, sanitization evidence and final inventory</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Migration/decommission runbook</w:t>
      </w:r>
    </w:p>
    <w:p>
      <w:pPr>
        <w:keepNext w:val="0"/>
        <w:spacing w:before="0" w:after="100" w:line="269" w:lineRule="auto"/>
        <w:ind w:left="187" w:hanging="187"/>
      </w:pPr>
      <w:r>
        <w:rPr>
          <w:rFonts w:ascii="Arial" w:hAnsi="Arial"/>
          <w:b w:val="0"/>
          <w:color w:val="181818"/>
          <w:sz w:val="20"/>
        </w:rPr>
        <w:t>•  Asset, port and cable reconciliation</w:t>
      </w:r>
    </w:p>
    <w:p>
      <w:pPr>
        <w:keepNext w:val="0"/>
        <w:spacing w:before="0" w:after="100" w:line="269" w:lineRule="auto"/>
        <w:ind w:left="187" w:hanging="187"/>
      </w:pPr>
      <w:r>
        <w:rPr>
          <w:rFonts w:ascii="Arial" w:hAnsi="Arial"/>
          <w:b w:val="0"/>
          <w:color w:val="181818"/>
          <w:sz w:val="20"/>
        </w:rPr>
        <w:t>•  Time-stamped change and acceptance log</w:t>
      </w:r>
    </w:p>
    <w:p>
      <w:pPr>
        <w:keepNext w:val="0"/>
        <w:spacing w:before="0" w:after="100" w:line="269" w:lineRule="auto"/>
        <w:ind w:left="187" w:hanging="187"/>
      </w:pPr>
      <w:r>
        <w:rPr>
          <w:rFonts w:ascii="Arial" w:hAnsi="Arial"/>
          <w:b w:val="0"/>
          <w:color w:val="181818"/>
          <w:sz w:val="20"/>
        </w:rPr>
        <w:t>•  Exception and rollback record</w:t>
      </w:r>
    </w:p>
    <w:p>
      <w:pPr>
        <w:keepNext w:val="0"/>
        <w:spacing w:before="0" w:after="100" w:line="269" w:lineRule="auto"/>
        <w:ind w:left="187" w:hanging="187"/>
      </w:pPr>
      <w:r>
        <w:rPr>
          <w:rFonts w:ascii="Arial" w:hAnsi="Arial"/>
          <w:b w:val="0"/>
          <w:color w:val="181818"/>
          <w:sz w:val="20"/>
        </w:rPr>
        <w:t>•  Disposition, sanitization and space-restoration evidence</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GHT-SVC-011 / DATA-CENTER MIGRATIONS AND DECOMMISSIONING</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Service, application and physical dependency map</w:t>
      </w:r>
    </w:p>
    <w:p>
      <w:pPr>
        <w:keepNext w:val="0"/>
        <w:spacing w:before="0" w:after="100" w:line="269" w:lineRule="auto"/>
        <w:ind w:left="187" w:hanging="187"/>
      </w:pPr>
      <w:r>
        <w:rPr>
          <w:rFonts w:ascii="Arial" w:hAnsi="Arial"/>
          <w:b w:val="0"/>
          <w:color w:val="181818"/>
          <w:sz w:val="20"/>
        </w:rPr>
        <w:t>•  Asset, serial, rack, port and ownership inventory</w:t>
      </w:r>
    </w:p>
    <w:p>
      <w:pPr>
        <w:keepNext w:val="0"/>
        <w:spacing w:before="0" w:after="100" w:line="269" w:lineRule="auto"/>
        <w:ind w:left="187" w:hanging="187"/>
      </w:pPr>
      <w:r>
        <w:rPr>
          <w:rFonts w:ascii="Arial" w:hAnsi="Arial"/>
          <w:b w:val="0"/>
          <w:color w:val="181818"/>
          <w:sz w:val="20"/>
        </w:rPr>
        <w:t>•  Target-state capacity and configuration readiness</w:t>
      </w:r>
    </w:p>
    <w:p>
      <w:pPr>
        <w:keepNext w:val="0"/>
        <w:spacing w:before="0" w:after="100" w:line="269" w:lineRule="auto"/>
        <w:ind w:left="187" w:hanging="187"/>
      </w:pPr>
      <w:r>
        <w:rPr>
          <w:rFonts w:ascii="Arial" w:hAnsi="Arial"/>
          <w:b w:val="0"/>
          <w:color w:val="181818"/>
          <w:sz w:val="20"/>
        </w:rPr>
        <w:t>•  Change window, acceptance and rollback thresholds</w:t>
      </w:r>
    </w:p>
    <w:p>
      <w:pPr>
        <w:keepNext w:val="0"/>
        <w:spacing w:before="0" w:after="100" w:line="269" w:lineRule="auto"/>
        <w:ind w:left="187" w:hanging="187"/>
      </w:pPr>
      <w:r>
        <w:rPr>
          <w:rFonts w:ascii="Arial" w:hAnsi="Arial"/>
          <w:b w:val="0"/>
          <w:color w:val="181818"/>
          <w:sz w:val="20"/>
        </w:rPr>
        <w:t>•  Data classification and disposition policy</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Unknown shared dependencies</w:t>
      </w:r>
    </w:p>
    <w:p>
      <w:pPr>
        <w:keepNext w:val="0"/>
        <w:spacing w:before="0" w:after="100" w:line="269" w:lineRule="auto"/>
        <w:ind w:left="187" w:hanging="187"/>
      </w:pPr>
      <w:r>
        <w:rPr>
          <w:rFonts w:ascii="Arial" w:hAnsi="Arial"/>
          <w:b w:val="0"/>
          <w:color w:val="181818"/>
          <w:sz w:val="20"/>
        </w:rPr>
        <w:t>•  Vendor, carrier and facility change approvals</w:t>
      </w:r>
    </w:p>
    <w:p>
      <w:pPr>
        <w:keepNext w:val="0"/>
        <w:spacing w:before="0" w:after="100" w:line="269" w:lineRule="auto"/>
        <w:ind w:left="187" w:hanging="187"/>
      </w:pPr>
      <w:r>
        <w:rPr>
          <w:rFonts w:ascii="Arial" w:hAnsi="Arial"/>
          <w:b w:val="0"/>
          <w:color w:val="181818"/>
          <w:sz w:val="20"/>
        </w:rPr>
        <w:t>•  Live-service and rollback timing</w:t>
      </w:r>
    </w:p>
    <w:p>
      <w:pPr>
        <w:keepNext w:val="0"/>
        <w:spacing w:before="0" w:after="100" w:line="269" w:lineRule="auto"/>
        <w:ind w:left="187" w:hanging="187"/>
      </w:pPr>
      <w:r>
        <w:rPr>
          <w:rFonts w:ascii="Arial" w:hAnsi="Arial"/>
          <w:b w:val="0"/>
          <w:color w:val="181818"/>
          <w:sz w:val="20"/>
        </w:rPr>
        <w:t>•  Data handling, chain of custody and authorized disposal</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Telecommunications Industry Association — TIA-942: Telecommunications Infrastructure Standard for Data Centers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BICSI — BICSI Library of ICT Manuals and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National Institute of Standards and Technology — SP 800-88 Rev. 2: Guidelines for Media Sanitization</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ASHRAE — Data Center Resources</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tiaonline.org/standard/tia-942/" TargetMode="External"/><Relationship Id="rId13" Type="http://schemas.openxmlformats.org/officeDocument/2006/relationships/hyperlink" Target="https://shop.bicsi.org/technical-manuals/bicsi-library" TargetMode="External"/><Relationship Id="rId14" Type="http://schemas.openxmlformats.org/officeDocument/2006/relationships/hyperlink" Target="https://csrc.nist.gov/pubs/sp/800/88/r2/final" TargetMode="External"/><Relationship Id="rId15" Type="http://schemas.openxmlformats.org/officeDocument/2006/relationships/hyperlink" Target="https://www.ashrae.org/technical-resources/bookstore/datacom-series" TargetMode="External"/><Relationship Id="rId16" Type="http://schemas.openxmlformats.org/officeDocument/2006/relationships/hyperlink" Target="https://ght.network/services/data-center/migrations-decommissio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Data-center migrations and decommissioning — Service specification</dc:title>
  <dc:subject>Services map to racks, ports, power, and owners; then cutover, validation, rollback, equipment release, media handling, removal, and final record updates run in sequence.</dc:subject>
  <dc:creator>Glass House Technologies</dc:creator>
  <cp:keywords>Data center,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