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NETWORKS AND WIRELESS</w:t>
      </w:r>
    </w:p>
    <w:p>
      <w:pPr>
        <w:keepNext/>
        <w:spacing w:before="0" w:after="180" w:line="269" w:lineRule="auto"/>
      </w:pPr>
      <w:r>
        <w:rPr>
          <w:rFonts w:ascii="Arial" w:hAnsi="Arial"/>
          <w:b/>
          <w:color w:val="181818"/>
          <w:sz w:val="48"/>
        </w:rPr>
        <w:t>Network core, routing, switching and segmentation</w:t>
      </w:r>
    </w:p>
    <w:p>
      <w:pPr>
        <w:keepNext w:val="0"/>
        <w:spacing w:before="0" w:after="240" w:line="269" w:lineRule="auto"/>
      </w:pPr>
      <w:r>
        <w:rPr>
          <w:rFonts w:ascii="Arial" w:hAnsi="Arial"/>
          <w:b w:val="0"/>
          <w:color w:val="646464"/>
          <w:sz w:val="17"/>
        </w:rPr>
        <w:t>GHT-SVC-013   •   Revision 1.0   •   06 September 2026   •   1 / 3</w:t>
      </w:r>
    </w:p>
    <w:p>
      <w:pPr>
        <w:keepNext w:val="0"/>
        <w:spacing w:before="0" w:after="180" w:line="269" w:lineRule="auto"/>
      </w:pPr>
      <w:r>
        <w:rPr>
          <w:rFonts w:ascii="Arial" w:hAnsi="Arial"/>
          <w:b w:val="0"/>
          <w:color w:val="181818"/>
          <w:sz w:val="22"/>
        </w:rPr>
        <w:t>Switching, routing, VLANs, address plans, security policy, uplinks, PoE, management access, configuration backups, and recovery, designed together.</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Current physical and logical diagrams, a VLAN and policy matrix, validated configurations, tested allowed and blocked paths, and recovery access.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Switching moves frames within network segments; routing moves traffic between networks; security policy controls allowed paths. VLANs create logical separation but are not a complete security control without correctly enforced routing, filtering, identity and management boundaries.</w:t>
      </w:r>
    </w:p>
    <w:p>
      <w:pPr>
        <w:keepNext w:val="0"/>
        <w:spacing w:before="0" w:after="120" w:line="269" w:lineRule="auto"/>
      </w:pPr>
      <w:r>
        <w:rPr>
          <w:rFonts w:ascii="Arial" w:hAnsi="Arial"/>
          <w:b w:val="0"/>
          <w:color w:val="181818"/>
          <w:sz w:val="20"/>
        </w:rPr>
        <w:t>Core design starts with applications, users, devices, data flows and consequences. Hardware throughput matters, but so do port media, uplinks, power budgets, configuration ownership, observability and a recoverable change process.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Edge networks</w:t>
            </w:r>
          </w:p>
        </w:tc>
        <w:tc>
          <w:tcPr>
            <w:tcW w:type="dxa" w:w="7200"/>
            <w:shd w:fill="F4F1E9"/>
          </w:tcPr>
          <w:p>
            <w:pPr>
              <w:spacing w:before="100" w:after="100"/>
            </w:pPr>
            <w:r>
              <w:rPr>
                <w:rFonts w:ascii="Arial" w:hAnsi="Arial"/>
                <w:sz w:val="18"/>
              </w:rPr>
              <w:t>Users, guests, cameras, voice, servers, IoT and OT zones</w:t>
            </w:r>
          </w:p>
        </w:tc>
      </w:tr>
      <w:tr>
        <w:tc>
          <w:tcPr>
            <w:tcW w:type="dxa" w:w="2160"/>
            <w:shd w:fill="FFFFFF"/>
          </w:tcPr>
          <w:p>
            <w:pPr>
              <w:spacing w:before="100" w:after="100"/>
            </w:pPr>
            <w:r>
              <w:rPr>
                <w:rFonts w:ascii="Arial" w:hAnsi="Arial"/>
                <w:b/>
                <w:sz w:val="18"/>
              </w:rPr>
              <w:t>02  Access switching</w:t>
            </w:r>
          </w:p>
        </w:tc>
        <w:tc>
          <w:tcPr>
            <w:tcW w:type="dxa" w:w="7200"/>
            <w:shd w:fill="FFFFFF"/>
          </w:tcPr>
          <w:p>
            <w:pPr>
              <w:spacing w:before="100" w:after="100"/>
            </w:pPr>
            <w:r>
              <w:rPr>
                <w:rFonts w:ascii="Arial" w:hAnsi="Arial"/>
                <w:sz w:val="18"/>
              </w:rPr>
              <w:t>Ports, PoE, VLAN assignment and local uplinks</w:t>
            </w:r>
          </w:p>
        </w:tc>
      </w:tr>
      <w:tr>
        <w:tc>
          <w:tcPr>
            <w:tcW w:type="dxa" w:w="2160"/>
            <w:shd w:fill="F4F1E9"/>
          </w:tcPr>
          <w:p>
            <w:pPr>
              <w:spacing w:before="100" w:after="100"/>
            </w:pPr>
            <w:r>
              <w:rPr>
                <w:rFonts w:ascii="Arial" w:hAnsi="Arial"/>
                <w:b/>
                <w:sz w:val="18"/>
              </w:rPr>
              <w:t>03  Core/routing</w:t>
            </w:r>
          </w:p>
        </w:tc>
        <w:tc>
          <w:tcPr>
            <w:tcW w:type="dxa" w:w="7200"/>
            <w:shd w:fill="F4F1E9"/>
          </w:tcPr>
          <w:p>
            <w:pPr>
              <w:spacing w:before="100" w:after="100"/>
            </w:pPr>
            <w:r>
              <w:rPr>
                <w:rFonts w:ascii="Arial" w:hAnsi="Arial"/>
                <w:sz w:val="18"/>
              </w:rPr>
              <w:t>Inter-zone paths, upstream routing and failure domains</w:t>
            </w:r>
          </w:p>
        </w:tc>
      </w:tr>
      <w:tr>
        <w:tc>
          <w:tcPr>
            <w:tcW w:type="dxa" w:w="2160"/>
            <w:shd w:fill="FFFFFF"/>
          </w:tcPr>
          <w:p>
            <w:pPr>
              <w:spacing w:before="100" w:after="100"/>
            </w:pPr>
            <w:r>
              <w:rPr>
                <w:rFonts w:ascii="Arial" w:hAnsi="Arial"/>
                <w:b/>
                <w:sz w:val="18"/>
              </w:rPr>
              <w:t>04  Policy/management</w:t>
            </w:r>
          </w:p>
        </w:tc>
        <w:tc>
          <w:tcPr>
            <w:tcW w:type="dxa" w:w="7200"/>
            <w:shd w:fill="FFFFFF"/>
          </w:tcPr>
          <w:p>
            <w:pPr>
              <w:spacing w:before="100" w:after="100"/>
            </w:pPr>
            <w:r>
              <w:rPr>
                <w:rFonts w:ascii="Arial" w:hAnsi="Arial"/>
                <w:sz w:val="18"/>
              </w:rPr>
              <w:t>Filtering, identity, logging, administration and recovery access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Guest, camera, user and operational devices share one flat network</w:t>
      </w:r>
    </w:p>
    <w:p>
      <w:pPr>
        <w:keepNext w:val="0"/>
        <w:spacing w:before="0" w:after="100" w:line="269" w:lineRule="auto"/>
        <w:ind w:left="187" w:hanging="187"/>
      </w:pPr>
      <w:r>
        <w:rPr>
          <w:rFonts w:ascii="Arial" w:hAnsi="Arial"/>
          <w:b w:val="0"/>
          <w:color w:val="181818"/>
          <w:sz w:val="20"/>
        </w:rPr>
        <w:t>•  Core equipment is at port or throughput limits</w:t>
      </w:r>
    </w:p>
    <w:p>
      <w:pPr>
        <w:keepNext w:val="0"/>
        <w:spacing w:before="0" w:after="100" w:line="269" w:lineRule="auto"/>
        <w:ind w:left="187" w:hanging="187"/>
      </w:pPr>
      <w:r>
        <w:rPr>
          <w:rFonts w:ascii="Arial" w:hAnsi="Arial"/>
          <w:b w:val="0"/>
          <w:color w:val="181818"/>
          <w:sz w:val="20"/>
        </w:rPr>
        <w:t>•  Network diagrams do not match current configuration</w:t>
      </w:r>
    </w:p>
    <w:p>
      <w:pPr>
        <w:keepNext w:val="0"/>
        <w:spacing w:before="0" w:after="100" w:line="269" w:lineRule="auto"/>
        <w:ind w:left="187" w:hanging="187"/>
      </w:pPr>
      <w:r>
        <w:rPr>
          <w:rFonts w:ascii="Arial" w:hAnsi="Arial"/>
          <w:b w:val="0"/>
          <w:color w:val="181818"/>
          <w:sz w:val="20"/>
        </w:rPr>
        <w:t>•  A failure or change affects more systems than expected</w:t>
      </w:r>
    </w:p>
    <w:p>
      <w:r>
        <w:br w:type="page"/>
      </w:r>
    </w:p>
    <w:p>
      <w:pPr>
        <w:keepNext/>
        <w:spacing w:before="1200" w:after="160" w:line="269" w:lineRule="auto"/>
      </w:pPr>
      <w:r>
        <w:rPr>
          <w:rFonts w:ascii="Arial" w:hAnsi="Arial"/>
          <w:b/>
          <w:color w:val="9B792B"/>
          <w:sz w:val="18"/>
        </w:rPr>
        <w:t>GHT-SVC-013 / NETWORK CORE, ROUTING, SWITCHING AND SEGMENTATION</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Discover flows</w:t>
      </w:r>
    </w:p>
    <w:p>
      <w:pPr>
        <w:keepNext w:val="0"/>
        <w:spacing w:before="0" w:after="80" w:line="269" w:lineRule="auto"/>
      </w:pPr>
      <w:r>
        <w:rPr>
          <w:rFonts w:ascii="Arial" w:hAnsi="Arial"/>
          <w:b w:val="0"/>
          <w:color w:val="181818"/>
          <w:sz w:val="20"/>
        </w:rPr>
        <w:t>Inventory users, devices, services, providers, management paths and required communications.</w:t>
      </w:r>
    </w:p>
    <w:p>
      <w:pPr>
        <w:keepNext w:val="0"/>
        <w:spacing w:before="0" w:after="140" w:line="269" w:lineRule="auto"/>
      </w:pPr>
      <w:r>
        <w:rPr>
          <w:rFonts w:ascii="Arial" w:hAnsi="Arial"/>
          <w:b/>
          <w:color w:val="181818"/>
          <w:sz w:val="18"/>
        </w:rPr>
        <w:t>Acceptance evidence: Asset/data-flow map and dependency register</w:t>
      </w:r>
    </w:p>
    <w:p>
      <w:pPr>
        <w:keepNext/>
        <w:spacing w:before="200" w:after="120" w:line="269" w:lineRule="auto"/>
      </w:pPr>
      <w:r>
        <w:rPr>
          <w:rFonts w:ascii="Arial" w:hAnsi="Arial"/>
          <w:b/>
          <w:color w:val="9B792B"/>
          <w:sz w:val="24"/>
        </w:rPr>
        <w:t>02  Design zones and capacity</w:t>
      </w:r>
    </w:p>
    <w:p>
      <w:pPr>
        <w:keepNext w:val="0"/>
        <w:spacing w:before="0" w:after="80" w:line="269" w:lineRule="auto"/>
      </w:pPr>
      <w:r>
        <w:rPr>
          <w:rFonts w:ascii="Arial" w:hAnsi="Arial"/>
          <w:b w:val="0"/>
          <w:color w:val="181818"/>
          <w:sz w:val="20"/>
        </w:rPr>
        <w:t>Define subnets, VLANs, routing, policies, uplinks, failure domains and management access.</w:t>
      </w:r>
    </w:p>
    <w:p>
      <w:pPr>
        <w:keepNext w:val="0"/>
        <w:spacing w:before="0" w:after="140" w:line="269" w:lineRule="auto"/>
      </w:pPr>
      <w:r>
        <w:rPr>
          <w:rFonts w:ascii="Arial" w:hAnsi="Arial"/>
          <w:b/>
          <w:color w:val="181818"/>
          <w:sz w:val="18"/>
        </w:rPr>
        <w:t>Acceptance evidence: Logical design, addressing plan and policy matrix</w:t>
      </w:r>
    </w:p>
    <w:p>
      <w:pPr>
        <w:keepNext/>
        <w:spacing w:before="200" w:after="120" w:line="269" w:lineRule="auto"/>
      </w:pPr>
      <w:r>
        <w:rPr>
          <w:rFonts w:ascii="Arial" w:hAnsi="Arial"/>
          <w:b/>
          <w:color w:val="9B792B"/>
          <w:sz w:val="24"/>
        </w:rPr>
        <w:t>03  Stage and change</w:t>
      </w:r>
    </w:p>
    <w:p>
      <w:pPr>
        <w:keepNext w:val="0"/>
        <w:spacing w:before="0" w:after="80" w:line="269" w:lineRule="auto"/>
      </w:pPr>
      <w:r>
        <w:rPr>
          <w:rFonts w:ascii="Arial" w:hAnsi="Arial"/>
          <w:b w:val="0"/>
          <w:color w:val="181818"/>
          <w:sz w:val="20"/>
        </w:rPr>
        <w:t>Build configurations, validate dependencies and execute within a controlled migration window.</w:t>
      </w:r>
    </w:p>
    <w:p>
      <w:pPr>
        <w:keepNext w:val="0"/>
        <w:spacing w:before="0" w:after="140" w:line="269" w:lineRule="auto"/>
      </w:pPr>
      <w:r>
        <w:rPr>
          <w:rFonts w:ascii="Arial" w:hAnsi="Arial"/>
          <w:b/>
          <w:color w:val="181818"/>
          <w:sz w:val="18"/>
        </w:rPr>
        <w:t>Acceptance evidence: Reviewed configuration, change log and rollback checkpoint</w:t>
      </w:r>
    </w:p>
    <w:p>
      <w:pPr>
        <w:keepNext/>
        <w:spacing w:before="200" w:after="120" w:line="269" w:lineRule="auto"/>
      </w:pPr>
      <w:r>
        <w:rPr>
          <w:rFonts w:ascii="Arial" w:hAnsi="Arial"/>
          <w:b/>
          <w:color w:val="9B792B"/>
          <w:sz w:val="24"/>
        </w:rPr>
        <w:t>04  Validate and hand off</w:t>
      </w:r>
    </w:p>
    <w:p>
      <w:pPr>
        <w:keepNext w:val="0"/>
        <w:spacing w:before="0" w:after="80" w:line="269" w:lineRule="auto"/>
      </w:pPr>
      <w:r>
        <w:rPr>
          <w:rFonts w:ascii="Arial" w:hAnsi="Arial"/>
          <w:b w:val="0"/>
          <w:color w:val="181818"/>
          <w:sz w:val="20"/>
        </w:rPr>
        <w:t>Test allowed/denied paths, performance, failover where scoped and management recovery.</w:t>
      </w:r>
    </w:p>
    <w:p>
      <w:pPr>
        <w:keepNext w:val="0"/>
        <w:spacing w:before="0" w:after="140" w:line="269" w:lineRule="auto"/>
      </w:pPr>
      <w:r>
        <w:rPr>
          <w:rFonts w:ascii="Arial" w:hAnsi="Arial"/>
          <w:b/>
          <w:color w:val="181818"/>
          <w:sz w:val="18"/>
        </w:rPr>
        <w:t>Acceptance evidence: Test matrix, configuration backup and final diagrams</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Physical and logical network diagrams</w:t>
      </w:r>
    </w:p>
    <w:p>
      <w:pPr>
        <w:keepNext w:val="0"/>
        <w:spacing w:before="0" w:after="100" w:line="269" w:lineRule="auto"/>
        <w:ind w:left="187" w:hanging="187"/>
      </w:pPr>
      <w:r>
        <w:rPr>
          <w:rFonts w:ascii="Arial" w:hAnsi="Arial"/>
          <w:b w:val="0"/>
          <w:color w:val="181818"/>
          <w:sz w:val="20"/>
        </w:rPr>
        <w:t>•  Addressing, VLAN and policy matrix</w:t>
      </w:r>
    </w:p>
    <w:p>
      <w:pPr>
        <w:keepNext w:val="0"/>
        <w:spacing w:before="0" w:after="100" w:line="269" w:lineRule="auto"/>
        <w:ind w:left="187" w:hanging="187"/>
      </w:pPr>
      <w:r>
        <w:rPr>
          <w:rFonts w:ascii="Arial" w:hAnsi="Arial"/>
          <w:b w:val="0"/>
          <w:color w:val="181818"/>
          <w:sz w:val="20"/>
        </w:rPr>
        <w:t>•  Port/uplink and capacity schedule</w:t>
      </w:r>
    </w:p>
    <w:p>
      <w:pPr>
        <w:keepNext w:val="0"/>
        <w:spacing w:before="0" w:after="100" w:line="269" w:lineRule="auto"/>
        <w:ind w:left="187" w:hanging="187"/>
      </w:pPr>
      <w:r>
        <w:rPr>
          <w:rFonts w:ascii="Arial" w:hAnsi="Arial"/>
          <w:b w:val="0"/>
          <w:color w:val="181818"/>
          <w:sz w:val="20"/>
        </w:rPr>
        <w:t>•  Validated configuration backup</w:t>
      </w:r>
    </w:p>
    <w:p>
      <w:pPr>
        <w:keepNext w:val="0"/>
        <w:spacing w:before="0" w:after="100" w:line="269" w:lineRule="auto"/>
        <w:ind w:left="187" w:hanging="187"/>
      </w:pPr>
      <w:r>
        <w:rPr>
          <w:rFonts w:ascii="Arial" w:hAnsi="Arial"/>
          <w:b w:val="0"/>
          <w:color w:val="181818"/>
          <w:sz w:val="20"/>
        </w:rPr>
        <w:t>•  Allowed/denied path and failover test record</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GHT-SVC-013 / NETWORK CORE, ROUTING, SWITCHING AND SEGMENTATION</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Device, user, application and data-flow inventory</w:t>
      </w:r>
    </w:p>
    <w:p>
      <w:pPr>
        <w:keepNext w:val="0"/>
        <w:spacing w:before="0" w:after="100" w:line="269" w:lineRule="auto"/>
        <w:ind w:left="187" w:hanging="187"/>
      </w:pPr>
      <w:r>
        <w:rPr>
          <w:rFonts w:ascii="Arial" w:hAnsi="Arial"/>
          <w:b w:val="0"/>
          <w:color w:val="181818"/>
          <w:sz w:val="20"/>
        </w:rPr>
        <w:t>•  Provider, WAN, server and cloud dependencies</w:t>
      </w:r>
    </w:p>
    <w:p>
      <w:pPr>
        <w:keepNext w:val="0"/>
        <w:spacing w:before="0" w:after="100" w:line="269" w:lineRule="auto"/>
        <w:ind w:left="187" w:hanging="187"/>
      </w:pPr>
      <w:r>
        <w:rPr>
          <w:rFonts w:ascii="Arial" w:hAnsi="Arial"/>
          <w:b w:val="0"/>
          <w:color w:val="181818"/>
          <w:sz w:val="20"/>
        </w:rPr>
        <w:t>•  Port, media, PoE and throughput demand</w:t>
      </w:r>
    </w:p>
    <w:p>
      <w:pPr>
        <w:keepNext w:val="0"/>
        <w:spacing w:before="0" w:after="100" w:line="269" w:lineRule="auto"/>
        <w:ind w:left="187" w:hanging="187"/>
      </w:pPr>
      <w:r>
        <w:rPr>
          <w:rFonts w:ascii="Arial" w:hAnsi="Arial"/>
          <w:b w:val="0"/>
          <w:color w:val="181818"/>
          <w:sz w:val="20"/>
        </w:rPr>
        <w:t>•  Security zones and permitted communications</w:t>
      </w:r>
    </w:p>
    <w:p>
      <w:pPr>
        <w:keepNext w:val="0"/>
        <w:spacing w:before="0" w:after="100" w:line="269" w:lineRule="auto"/>
        <w:ind w:left="187" w:hanging="187"/>
      </w:pPr>
      <w:r>
        <w:rPr>
          <w:rFonts w:ascii="Arial" w:hAnsi="Arial"/>
          <w:b w:val="0"/>
          <w:color w:val="181818"/>
          <w:sz w:val="20"/>
        </w:rPr>
        <w:t>•  Availability, maintenance and recovery requirements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Legacy device and protocol behavior</w:t>
      </w:r>
    </w:p>
    <w:p>
      <w:pPr>
        <w:keepNext w:val="0"/>
        <w:spacing w:before="0" w:after="100" w:line="269" w:lineRule="auto"/>
        <w:ind w:left="187" w:hanging="187"/>
      </w:pPr>
      <w:r>
        <w:rPr>
          <w:rFonts w:ascii="Arial" w:hAnsi="Arial"/>
          <w:b w:val="0"/>
          <w:color w:val="181818"/>
          <w:sz w:val="20"/>
        </w:rPr>
        <w:t>•  Shared provider, power and physical-path dependencies</w:t>
      </w:r>
    </w:p>
    <w:p>
      <w:pPr>
        <w:keepNext w:val="0"/>
        <w:spacing w:before="0" w:after="100" w:line="269" w:lineRule="auto"/>
        <w:ind w:left="187" w:hanging="187"/>
      </w:pPr>
      <w:r>
        <w:rPr>
          <w:rFonts w:ascii="Arial" w:hAnsi="Arial"/>
          <w:b w:val="0"/>
          <w:color w:val="181818"/>
          <w:sz w:val="20"/>
        </w:rPr>
        <w:t>•  Maintenance windows and remote-access continuity</w:t>
      </w:r>
    </w:p>
    <w:p>
      <w:pPr>
        <w:keepNext w:val="0"/>
        <w:spacing w:before="0" w:after="100" w:line="269" w:lineRule="auto"/>
        <w:ind w:left="187" w:hanging="187"/>
      </w:pPr>
      <w:r>
        <w:rPr>
          <w:rFonts w:ascii="Arial" w:hAnsi="Arial"/>
          <w:b w:val="0"/>
          <w:color w:val="181818"/>
          <w:sz w:val="20"/>
        </w:rPr>
        <w:t>•  Throughput impact of security inspection and logging</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Cybersecurity and Infrastructure Security Agency — Enhanced Visibility and Hardening Guidance for Communications Infrastructure</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IEEE 802.3 Working Group — IEEE 802.3 Ethernet</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Telecommunications Industry Association — TIA-568: Commercial Building Telecommunications Cabling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BICSI — Telecommunications Distribution Methods Manual</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cisa.gov/resources-tools/resources/enhanced-visibility-and-hardening-guidance-communications-infrastructure" TargetMode="External"/><Relationship Id="rId13" Type="http://schemas.openxmlformats.org/officeDocument/2006/relationships/hyperlink" Target="https://ieee802.org/3/" TargetMode="External"/><Relationship Id="rId14" Type="http://schemas.openxmlformats.org/officeDocument/2006/relationships/hyperlink" Target="https://tiaonline.org/standard/tia-568/" TargetMode="External"/><Relationship Id="rId15" Type="http://schemas.openxmlformats.org/officeDocument/2006/relationships/hyperlink" Target="https://shop.bicsi.org/technical-manuals/distribution-design" TargetMode="External"/><Relationship Id="rId16" Type="http://schemas.openxmlformats.org/officeDocument/2006/relationships/hyperlink" Target="https://ght.network/services/networks-wireless/network-core-segment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Network core, routing, switching and segmentation — Service specification</dc:title>
  <dc:subject>Switching, routing, VLANs, address plans, security policy, uplinks, PoE, management access, configuration backups, and recovery, designed together.</dc:subject>
  <dc:creator>Glass House Technologies</dc:creator>
  <cp:keywords>Networks and wireless,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