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Operational technology networks</w:t>
      </w:r>
    </w:p>
    <w:p>
      <w:pPr>
        <w:keepNext w:val="0"/>
        <w:spacing w:before="0" w:after="240" w:line="269" w:lineRule="auto"/>
      </w:pPr>
      <w:r>
        <w:rPr>
          <w:rFonts w:ascii="Arial" w:hAnsi="Arial"/>
          <w:b w:val="0"/>
          <w:color w:val="646464"/>
          <w:sz w:val="17"/>
        </w:rPr>
        <w:t>GHT-SVC-032   •   Revision 1.0   •   06 September 2026   •   1 / 3</w:t>
      </w:r>
    </w:p>
    <w:p>
      <w:pPr>
        <w:keepNext w:val="0"/>
        <w:spacing w:before="0" w:after="180" w:line="269" w:lineRule="auto"/>
      </w:pPr>
      <w:r>
        <w:rPr>
          <w:rFonts w:ascii="Arial" w:hAnsi="Arial"/>
          <w:b w:val="0"/>
          <w:color w:val="181818"/>
          <w:sz w:val="22"/>
        </w:rPr>
        <w:t>Asset discovery, approved data paths, industrial switching, remote access, monitoring, backups, maintenance windows, testing, and rollback, all with process-owner approval.</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current OT asset and communication map, tested network boundaries, approved remote access, recoverable configurations, and process-aware acceptance results.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Operational technology includes programmable systems and devices that interact with the physical environment, such as industrial controls, building automation, transportation, utilities, physical access, and environmental monitoring. Their safety, timing, reliability, and availability needs can differ materially from office IT.</w:t>
      </w:r>
    </w:p>
    <w:p>
      <w:pPr>
        <w:keepNext w:val="0"/>
        <w:spacing w:before="0" w:after="120" w:line="269" w:lineRule="auto"/>
      </w:pPr>
      <w:r>
        <w:rPr>
          <w:rFonts w:ascii="Arial" w:hAnsi="Arial"/>
          <w:b w:val="0"/>
          <w:color w:val="181818"/>
          <w:sz w:val="20"/>
        </w:rPr>
        <w:t>An OT project should begin with asset and data-flow discovery performed without disrupting production. Architecture, segmentation, monitoring, patching, remote access, backups, and incident response must be coordinated with process owners and equipment vendors.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Process and assets</w:t>
            </w:r>
          </w:p>
        </w:tc>
        <w:tc>
          <w:tcPr>
            <w:tcW w:type="dxa" w:w="7200"/>
            <w:shd w:fill="F4F1E9"/>
          </w:tcPr>
          <w:p>
            <w:pPr>
              <w:spacing w:before="100" w:after="100"/>
            </w:pPr>
            <w:r>
              <w:rPr>
                <w:rFonts w:ascii="Arial" w:hAnsi="Arial"/>
                <w:sz w:val="18"/>
              </w:rPr>
              <w:t>Controllers, sensors, actuators, HMIs, servers, building and physical systems</w:t>
            </w:r>
          </w:p>
        </w:tc>
      </w:tr>
      <w:tr>
        <w:tc>
          <w:tcPr>
            <w:tcW w:type="dxa" w:w="2160"/>
            <w:shd w:fill="FFFFFF"/>
          </w:tcPr>
          <w:p>
            <w:pPr>
              <w:spacing w:before="100" w:after="100"/>
            </w:pPr>
            <w:r>
              <w:rPr>
                <w:rFonts w:ascii="Arial" w:hAnsi="Arial"/>
                <w:b/>
                <w:sz w:val="18"/>
              </w:rPr>
              <w:t>02  Zones and conduits</w:t>
            </w:r>
          </w:p>
        </w:tc>
        <w:tc>
          <w:tcPr>
            <w:tcW w:type="dxa" w:w="7200"/>
            <w:shd w:fill="FFFFFF"/>
          </w:tcPr>
          <w:p>
            <w:pPr>
              <w:spacing w:before="100" w:after="100"/>
            </w:pPr>
            <w:r>
              <w:rPr>
                <w:rFonts w:ascii="Arial" w:hAnsi="Arial"/>
                <w:sz w:val="18"/>
              </w:rPr>
              <w:t>Criticality boundaries, industrial links, approved protocols and data paths</w:t>
            </w:r>
          </w:p>
        </w:tc>
      </w:tr>
      <w:tr>
        <w:tc>
          <w:tcPr>
            <w:tcW w:type="dxa" w:w="2160"/>
            <w:shd w:fill="F4F1E9"/>
          </w:tcPr>
          <w:p>
            <w:pPr>
              <w:spacing w:before="100" w:after="100"/>
            </w:pPr>
            <w:r>
              <w:rPr>
                <w:rFonts w:ascii="Arial" w:hAnsi="Arial"/>
                <w:b/>
                <w:sz w:val="18"/>
              </w:rPr>
              <w:t>03  Controlled access</w:t>
            </w:r>
          </w:p>
        </w:tc>
        <w:tc>
          <w:tcPr>
            <w:tcW w:type="dxa" w:w="7200"/>
            <w:shd w:fill="F4F1E9"/>
          </w:tcPr>
          <w:p>
            <w:pPr>
              <w:spacing w:before="100" w:after="100"/>
            </w:pPr>
            <w:r>
              <w:rPr>
                <w:rFonts w:ascii="Arial" w:hAnsi="Arial"/>
                <w:sz w:val="18"/>
              </w:rPr>
              <w:t>Identity, jump path, vendor session, least privilege, logging and approval</w:t>
            </w:r>
          </w:p>
        </w:tc>
      </w:tr>
      <w:tr>
        <w:tc>
          <w:tcPr>
            <w:tcW w:type="dxa" w:w="2160"/>
            <w:shd w:fill="FFFFFF"/>
          </w:tcPr>
          <w:p>
            <w:pPr>
              <w:spacing w:before="100" w:after="100"/>
            </w:pPr>
            <w:r>
              <w:rPr>
                <w:rFonts w:ascii="Arial" w:hAnsi="Arial"/>
                <w:b/>
                <w:sz w:val="18"/>
              </w:rPr>
              <w:t>04  Operations and recovery</w:t>
            </w:r>
          </w:p>
        </w:tc>
        <w:tc>
          <w:tcPr>
            <w:tcW w:type="dxa" w:w="7200"/>
            <w:shd w:fill="FFFFFF"/>
          </w:tcPr>
          <w:p>
            <w:pPr>
              <w:spacing w:before="100" w:after="100"/>
            </w:pPr>
            <w:r>
              <w:rPr>
                <w:rFonts w:ascii="Arial" w:hAnsi="Arial"/>
                <w:sz w:val="18"/>
              </w:rPr>
              <w:t>Monitoring, time, configuration backup, spares, change window, rollback and incident plan</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Controls, building systems, cameras, vendors, and office devices share a flat undocumented network</w:t>
      </w:r>
    </w:p>
    <w:p>
      <w:pPr>
        <w:keepNext w:val="0"/>
        <w:spacing w:before="0" w:after="100" w:line="269" w:lineRule="auto"/>
        <w:ind w:left="187" w:hanging="187"/>
      </w:pPr>
      <w:r>
        <w:rPr>
          <w:rFonts w:ascii="Arial" w:hAnsi="Arial"/>
          <w:b w:val="0"/>
          <w:color w:val="181818"/>
          <w:sz w:val="20"/>
        </w:rPr>
        <w:t>•  Remote vendor access uses permanent shared credentials or unmanaged consumer hardware</w:t>
      </w:r>
    </w:p>
    <w:p>
      <w:pPr>
        <w:keepNext w:val="0"/>
        <w:spacing w:before="0" w:after="100" w:line="269" w:lineRule="auto"/>
        <w:ind w:left="187" w:hanging="187"/>
      </w:pPr>
      <w:r>
        <w:rPr>
          <w:rFonts w:ascii="Arial" w:hAnsi="Arial"/>
          <w:b w:val="0"/>
          <w:color w:val="181818"/>
          <w:sz w:val="20"/>
        </w:rPr>
        <w:t>•  No one can produce current asset, firmware, network, backup, or communication-path records</w:t>
      </w:r>
    </w:p>
    <w:p>
      <w:pPr>
        <w:keepNext w:val="0"/>
        <w:spacing w:before="0" w:after="100" w:line="269" w:lineRule="auto"/>
        <w:ind w:left="187" w:hanging="187"/>
      </w:pPr>
      <w:r>
        <w:rPr>
          <w:rFonts w:ascii="Arial" w:hAnsi="Arial"/>
          <w:b w:val="0"/>
          <w:color w:val="181818"/>
          <w:sz w:val="20"/>
        </w:rPr>
        <w:t>•  Changes are made without a process owner, maintenance window, backup, test, or rollback</w:t>
      </w:r>
    </w:p>
    <w:p>
      <w:r>
        <w:br w:type="page"/>
      </w:r>
    </w:p>
    <w:p>
      <w:pPr>
        <w:keepNext/>
        <w:spacing w:before="1200" w:after="160" w:line="269" w:lineRule="auto"/>
      </w:pPr>
      <w:r>
        <w:rPr>
          <w:rFonts w:ascii="Arial" w:hAnsi="Arial"/>
          <w:b/>
          <w:color w:val="9B792B"/>
          <w:sz w:val="18"/>
        </w:rPr>
        <w:t>GHT-SVC-032 / OPERATIONAL TECHNOLOGY NETWORKS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Discover without disruption</w:t>
      </w:r>
    </w:p>
    <w:p>
      <w:pPr>
        <w:keepNext w:val="0"/>
        <w:spacing w:before="0" w:after="80" w:line="269" w:lineRule="auto"/>
      </w:pPr>
      <w:r>
        <w:rPr>
          <w:rFonts w:ascii="Arial" w:hAnsi="Arial"/>
          <w:b w:val="0"/>
          <w:color w:val="181818"/>
          <w:sz w:val="20"/>
        </w:rPr>
        <w:t>Coordinate with process and safety owners; inventory assets, versions, protocols, dependencies, vendors, data flows, remote paths, network equipment, time, backups, and allowable methods.</w:t>
      </w:r>
    </w:p>
    <w:p>
      <w:pPr>
        <w:keepNext w:val="0"/>
        <w:spacing w:before="0" w:after="140" w:line="269" w:lineRule="auto"/>
      </w:pPr>
      <w:r>
        <w:rPr>
          <w:rFonts w:ascii="Arial" w:hAnsi="Arial"/>
          <w:b/>
          <w:color w:val="181818"/>
          <w:sz w:val="18"/>
        </w:rPr>
        <w:t>Acceptance evidence: Owner-approved asset and communication inventory, current topology, criticality, maintenance constraints, and discovery limitations.</w:t>
      </w:r>
    </w:p>
    <w:p>
      <w:pPr>
        <w:keepNext/>
        <w:spacing w:before="200" w:after="120" w:line="269" w:lineRule="auto"/>
      </w:pPr>
      <w:r>
        <w:rPr>
          <w:rFonts w:ascii="Arial" w:hAnsi="Arial"/>
          <w:b/>
          <w:color w:val="9B792B"/>
          <w:sz w:val="24"/>
        </w:rPr>
        <w:t>02  Design zones and controlled paths</w:t>
      </w:r>
    </w:p>
    <w:p>
      <w:pPr>
        <w:keepNext w:val="0"/>
        <w:spacing w:before="0" w:after="80" w:line="269" w:lineRule="auto"/>
      </w:pPr>
      <w:r>
        <w:rPr>
          <w:rFonts w:ascii="Arial" w:hAnsi="Arial"/>
          <w:b w:val="0"/>
          <w:color w:val="181818"/>
          <w:sz w:val="20"/>
        </w:rPr>
        <w:t>Define security zones, conduits, industrial switching, routing, firewall policy, remote access, identity, logging, time, redundancy, monitoring, configuration backup, and recovery.</w:t>
      </w:r>
    </w:p>
    <w:p>
      <w:pPr>
        <w:keepNext w:val="0"/>
        <w:spacing w:before="0" w:after="140" w:line="269" w:lineRule="auto"/>
      </w:pPr>
      <w:r>
        <w:rPr>
          <w:rFonts w:ascii="Arial" w:hAnsi="Arial"/>
          <w:b/>
          <w:color w:val="181818"/>
          <w:sz w:val="18"/>
        </w:rPr>
        <w:t>Acceptance evidence: Target architecture, approved communication matrix, access model, equipment and resilience schedule, backup plan, test plan, and rollback criteria.</w:t>
      </w:r>
    </w:p>
    <w:p>
      <w:pPr>
        <w:keepNext/>
        <w:spacing w:before="200" w:after="120" w:line="269" w:lineRule="auto"/>
      </w:pPr>
      <w:r>
        <w:rPr>
          <w:rFonts w:ascii="Arial" w:hAnsi="Arial"/>
          <w:b/>
          <w:color w:val="9B792B"/>
          <w:sz w:val="24"/>
        </w:rPr>
        <w:t>03  Change in approved windows</w:t>
      </w:r>
    </w:p>
    <w:p>
      <w:pPr>
        <w:keepNext w:val="0"/>
        <w:spacing w:before="0" w:after="80" w:line="269" w:lineRule="auto"/>
      </w:pPr>
      <w:r>
        <w:rPr>
          <w:rFonts w:ascii="Arial" w:hAnsi="Arial"/>
          <w:b w:val="0"/>
          <w:color w:val="181818"/>
          <w:sz w:val="20"/>
        </w:rPr>
        <w:t>Back up configurations, stage equipment, pretest rules, label connections, implement an approved segment at a time, observe process state, and retain a working rollback path.</w:t>
      </w:r>
    </w:p>
    <w:p>
      <w:pPr>
        <w:keepNext w:val="0"/>
        <w:spacing w:before="0" w:after="140" w:line="269" w:lineRule="auto"/>
      </w:pPr>
      <w:r>
        <w:rPr>
          <w:rFonts w:ascii="Arial" w:hAnsi="Arial"/>
          <w:b/>
          <w:color w:val="181818"/>
          <w:sz w:val="18"/>
        </w:rPr>
        <w:t>Acceptance evidence: Pre-change backup checks, labeled assets and links, change log, owner observations, configuration record, and rollback readiness.</w:t>
      </w:r>
    </w:p>
    <w:p>
      <w:pPr>
        <w:keepNext/>
        <w:spacing w:before="200" w:after="120" w:line="269" w:lineRule="auto"/>
      </w:pPr>
      <w:r>
        <w:rPr>
          <w:rFonts w:ascii="Arial" w:hAnsi="Arial"/>
          <w:b/>
          <w:color w:val="9B792B"/>
          <w:sz w:val="24"/>
        </w:rPr>
        <w:t>04  Validate process and recovery</w:t>
      </w:r>
    </w:p>
    <w:p>
      <w:pPr>
        <w:keepNext w:val="0"/>
        <w:spacing w:before="0" w:after="80" w:line="269" w:lineRule="auto"/>
      </w:pPr>
      <w:r>
        <w:rPr>
          <w:rFonts w:ascii="Arial" w:hAnsi="Arial"/>
          <w:b w:val="0"/>
          <w:color w:val="181818"/>
          <w:sz w:val="20"/>
        </w:rPr>
        <w:t>Confirm approved communications, blocked paths, latency-sensitive functions, alarms, time, redundancy, monitoring, remote access, configuration restoration, and process-owner acceptance.</w:t>
      </w:r>
    </w:p>
    <w:p>
      <w:pPr>
        <w:keepNext w:val="0"/>
        <w:spacing w:before="0" w:after="140" w:line="269" w:lineRule="auto"/>
      </w:pPr>
      <w:r>
        <w:rPr>
          <w:rFonts w:ascii="Arial" w:hAnsi="Arial"/>
          <w:b/>
          <w:color w:val="181818"/>
          <w:sz w:val="18"/>
        </w:rPr>
        <w:t>Acceptance evidence: Communication and segmentation test results, process acceptance, monitoring events, remote-access audit sample, restoration test, and exceptions.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Approved OT asset, owner, version, criticality, and communication inventory</w:t>
      </w:r>
    </w:p>
    <w:p>
      <w:pPr>
        <w:keepNext w:val="0"/>
        <w:spacing w:before="0" w:after="100" w:line="269" w:lineRule="auto"/>
        <w:ind w:left="187" w:hanging="187"/>
      </w:pPr>
      <w:r>
        <w:rPr>
          <w:rFonts w:ascii="Arial" w:hAnsi="Arial"/>
          <w:b w:val="0"/>
          <w:color w:val="181818"/>
          <w:sz w:val="20"/>
        </w:rPr>
        <w:t>•  Current and target zone/conduit architecture and policy matrix</w:t>
      </w:r>
    </w:p>
    <w:p>
      <w:pPr>
        <w:keepNext w:val="0"/>
        <w:spacing w:before="0" w:after="100" w:line="269" w:lineRule="auto"/>
        <w:ind w:left="187" w:hanging="187"/>
      </w:pPr>
      <w:r>
        <w:rPr>
          <w:rFonts w:ascii="Arial" w:hAnsi="Arial"/>
          <w:b w:val="0"/>
          <w:color w:val="181818"/>
          <w:sz w:val="20"/>
        </w:rPr>
        <w:t>•  Remote-access, identity, monitoring, time, backup, change, and rollback design</w:t>
      </w:r>
    </w:p>
    <w:p>
      <w:pPr>
        <w:keepNext w:val="0"/>
        <w:spacing w:before="0" w:after="100" w:line="269" w:lineRule="auto"/>
        <w:ind w:left="187" w:hanging="187"/>
      </w:pPr>
      <w:r>
        <w:rPr>
          <w:rFonts w:ascii="Arial" w:hAnsi="Arial"/>
          <w:b w:val="0"/>
          <w:color w:val="181818"/>
          <w:sz w:val="20"/>
        </w:rPr>
        <w:t>•  Communication, segmentation, process, monitoring, and restoration acceptance evidence</w:t>
      </w:r>
    </w:p>
    <w:p>
      <w:pPr>
        <w:keepNext w:val="0"/>
        <w:spacing w:before="0" w:after="100" w:line="269" w:lineRule="auto"/>
        <w:ind w:left="187" w:hanging="187"/>
      </w:pPr>
      <w:r>
        <w:rPr>
          <w:rFonts w:ascii="Arial" w:hAnsi="Arial"/>
          <w:b w:val="0"/>
          <w:color w:val="181818"/>
          <w:sz w:val="20"/>
        </w:rPr>
        <w:t>•  Labeled as-builts, configuration archive, exception register, and operating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GHT-SVC-032 / OPERATIONAL TECHNOLOGY NETWORKS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Process, safety, availability, timing, environmental, regulatory, and maintenance-window constraints</w:t>
      </w:r>
    </w:p>
    <w:p>
      <w:pPr>
        <w:keepNext w:val="0"/>
        <w:spacing w:before="0" w:after="100" w:line="269" w:lineRule="auto"/>
        <w:ind w:left="187" w:hanging="187"/>
      </w:pPr>
      <w:r>
        <w:rPr>
          <w:rFonts w:ascii="Arial" w:hAnsi="Arial"/>
          <w:b w:val="0"/>
          <w:color w:val="181818"/>
          <w:sz w:val="20"/>
        </w:rPr>
        <w:t>•  Assets, firmware, protocols, addresses, criticality, owners, vendors, and lifecycle status</w:t>
      </w:r>
    </w:p>
    <w:p>
      <w:pPr>
        <w:keepNext w:val="0"/>
        <w:spacing w:before="0" w:after="100" w:line="269" w:lineRule="auto"/>
        <w:ind w:left="187" w:hanging="187"/>
      </w:pPr>
      <w:r>
        <w:rPr>
          <w:rFonts w:ascii="Arial" w:hAnsi="Arial"/>
          <w:b w:val="0"/>
          <w:color w:val="181818"/>
          <w:sz w:val="20"/>
        </w:rPr>
        <w:t>•  Current and required data flows, zones, remote access, identity, time, logging, and monitoring</w:t>
      </w:r>
    </w:p>
    <w:p>
      <w:pPr>
        <w:keepNext w:val="0"/>
        <w:spacing w:before="0" w:after="100" w:line="269" w:lineRule="auto"/>
        <w:ind w:left="187" w:hanging="187"/>
      </w:pPr>
      <w:r>
        <w:rPr>
          <w:rFonts w:ascii="Arial" w:hAnsi="Arial"/>
          <w:b w:val="0"/>
          <w:color w:val="181818"/>
          <w:sz w:val="20"/>
        </w:rPr>
        <w:t>•  Industrial media, distances, redundancy, enclosures, power, grounding, spares, and support</w:t>
      </w:r>
    </w:p>
    <w:p>
      <w:pPr>
        <w:keepNext w:val="0"/>
        <w:spacing w:before="0" w:after="100" w:line="269" w:lineRule="auto"/>
        <w:ind w:left="187" w:hanging="187"/>
      </w:pPr>
      <w:r>
        <w:rPr>
          <w:rFonts w:ascii="Arial" w:hAnsi="Arial"/>
          <w:b w:val="0"/>
          <w:color w:val="181818"/>
          <w:sz w:val="20"/>
        </w:rPr>
        <w:t>•  Configuration backups, restore method, test environment, change approval, validation, rollback, and incident response</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OT changes can affect safety, production, warranties, validated processes, and vendor support; process-owner approval is required</w:t>
      </w:r>
    </w:p>
    <w:p>
      <w:pPr>
        <w:keepNext w:val="0"/>
        <w:spacing w:before="0" w:after="100" w:line="269" w:lineRule="auto"/>
        <w:ind w:left="187" w:hanging="187"/>
      </w:pPr>
      <w:r>
        <w:rPr>
          <w:rFonts w:ascii="Arial" w:hAnsi="Arial"/>
          <w:b w:val="0"/>
          <w:color w:val="181818"/>
          <w:sz w:val="20"/>
        </w:rPr>
        <w:t>•  Active discovery, vulnerability scanning, failover, patching, or restoration tests can disrupt fragile equipment and must be explicitly approved</w:t>
      </w:r>
    </w:p>
    <w:p>
      <w:pPr>
        <w:keepNext w:val="0"/>
        <w:spacing w:before="0" w:after="100" w:line="269" w:lineRule="auto"/>
        <w:ind w:left="187" w:hanging="187"/>
      </w:pPr>
      <w:r>
        <w:rPr>
          <w:rFonts w:ascii="Arial" w:hAnsi="Arial"/>
          <w:b w:val="0"/>
          <w:color w:val="181818"/>
          <w:sz w:val="20"/>
        </w:rPr>
        <w:t>•  Legacy protocols and devices may lack modern authentication, encryption, logging, or patch paths</w:t>
      </w:r>
    </w:p>
    <w:p>
      <w:pPr>
        <w:keepNext w:val="0"/>
        <w:spacing w:before="0" w:after="100" w:line="269" w:lineRule="auto"/>
        <w:ind w:left="187" w:hanging="187"/>
      </w:pPr>
      <w:r>
        <w:rPr>
          <w:rFonts w:ascii="Arial" w:hAnsi="Arial"/>
          <w:b w:val="0"/>
          <w:color w:val="181818"/>
          <w:sz w:val="20"/>
        </w:rPr>
        <w:t>•  Security improvements must preserve required deterministic behavior, local control, safe states, and recovery</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800-82 Rev. 3: Guide to Operational Technology Security</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International Society of Automation — ISA/IEC 62443 Series of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Cybersecurity and Infrastructure Security Agency — Cross-Sector Cybersecurity Performance Goals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82/r3/final" TargetMode="External"/><Relationship Id="rId13" Type="http://schemas.openxmlformats.org/officeDocument/2006/relationships/hyperlink" Target="https://www.isa.org/standards-and-publications/isa-standards/isa-iec-62443-series-of-standards" TargetMode="External"/><Relationship Id="rId14" Type="http://schemas.openxmlformats.org/officeDocument/2006/relationships/hyperlink" Target="https://www.cisa.gov/cybersecurity-performance-goals" TargetMode="External"/><Relationship Id="rId15" Type="http://schemas.openxmlformats.org/officeDocument/2006/relationships/hyperlink" Target="https://ght.network/services/operational-systems/ot-networ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technology networks — Service specification</dc:title>
  <dc:subject>Asset discovery, approved data paths, industrial switching, remote access, monitoring, backups, maintenance windows, testing, and rollback, all with process-owner approval.</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