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NETWORKS AND WIRELESS</w:t>
      </w:r>
    </w:p>
    <w:p>
      <w:pPr>
        <w:keepNext/>
        <w:spacing w:before="0" w:after="180" w:line="269" w:lineRule="auto"/>
      </w:pPr>
      <w:r>
        <w:rPr>
          <w:rFonts w:ascii="Arial" w:hAnsi="Arial"/>
          <w:b/>
          <w:color w:val="181818"/>
          <w:sz w:val="48"/>
        </w:rPr>
        <w:t>Outdoor and point-to-point wireless</w:t>
      </w:r>
    </w:p>
    <w:p>
      <w:pPr>
        <w:keepNext w:val="0"/>
        <w:spacing w:before="0" w:after="240" w:line="269" w:lineRule="auto"/>
      </w:pPr>
      <w:r>
        <w:rPr>
          <w:rFonts w:ascii="Arial" w:hAnsi="Arial"/>
          <w:b w:val="0"/>
          <w:color w:val="646464"/>
          <w:sz w:val="17"/>
        </w:rPr>
        <w:t>GHT-SVC-017   •   Revision 1.0   •   06 September 2026   •   1 / 3</w:t>
      </w:r>
    </w:p>
    <w:p>
      <w:pPr>
        <w:keepNext w:val="0"/>
        <w:spacing w:before="0" w:after="180" w:line="269" w:lineRule="auto"/>
      </w:pPr>
      <w:r>
        <w:rPr>
          <w:rFonts w:ascii="Arial" w:hAnsi="Arial"/>
          <w:b w:val="0"/>
          <w:color w:val="181818"/>
          <w:sz w:val="22"/>
        </w:rPr>
        <w:t>Outdoor wireless extends network service to remote buildings, cameras, gates, and equipment.</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weather-ready radio link with a path profile, link budget, alignment and performance baseline, endpoint records, and a maintenance plan.</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 fixed wireless link depends on more than visual line of sight. Frequency, path length, Fresnel-zone clearance, terrain, foliage, structures, interference, antenna gain, mounting stability and legal operating limits affect the link budget.</w:t>
      </w:r>
    </w:p>
    <w:p>
      <w:pPr>
        <w:keepNext w:val="0"/>
        <w:spacing w:before="0" w:after="120" w:line="269" w:lineRule="auto"/>
      </w:pPr>
      <w:r>
        <w:rPr>
          <w:rFonts w:ascii="Arial" w:hAnsi="Arial"/>
          <w:b w:val="0"/>
          <w:color w:val="181818"/>
          <w:sz w:val="20"/>
        </w:rPr>
        <w:t>The radio system also depends on cable entry, surge and bonding coordination, local power, network segmentation, enclosure/environment ratings, safe access and a recovery method if alignment or hardware fails.</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Network endpoint A</w:t>
            </w:r>
          </w:p>
        </w:tc>
        <w:tc>
          <w:tcPr>
            <w:tcW w:type="dxa" w:w="7200"/>
            <w:shd w:fill="F4F1E9"/>
          </w:tcPr>
          <w:p>
            <w:pPr>
              <w:spacing w:before="100" w:after="100"/>
            </w:pPr>
            <w:r>
              <w:rPr>
                <w:rFonts w:ascii="Arial" w:hAnsi="Arial"/>
                <w:sz w:val="18"/>
              </w:rPr>
              <w:t>Switching, power, policy and physical cable entry</w:t>
            </w:r>
          </w:p>
        </w:tc>
      </w:tr>
      <w:tr>
        <w:tc>
          <w:tcPr>
            <w:tcW w:type="dxa" w:w="2160"/>
            <w:shd w:fill="FFFFFF"/>
          </w:tcPr>
          <w:p>
            <w:pPr>
              <w:spacing w:before="100" w:after="100"/>
            </w:pPr>
            <w:r>
              <w:rPr>
                <w:rFonts w:ascii="Arial" w:hAnsi="Arial"/>
                <w:b/>
                <w:sz w:val="18"/>
              </w:rPr>
              <w:t>02  Radio path</w:t>
            </w:r>
          </w:p>
        </w:tc>
        <w:tc>
          <w:tcPr>
            <w:tcW w:type="dxa" w:w="7200"/>
            <w:shd w:fill="FFFFFF"/>
          </w:tcPr>
          <w:p>
            <w:pPr>
              <w:spacing w:before="100" w:after="100"/>
            </w:pPr>
            <w:r>
              <w:rPr>
                <w:rFonts w:ascii="Arial" w:hAnsi="Arial"/>
                <w:sz w:val="18"/>
              </w:rPr>
              <w:t>Frequency, distance, Fresnel clearance and interference environment</w:t>
            </w:r>
          </w:p>
        </w:tc>
      </w:tr>
      <w:tr>
        <w:tc>
          <w:tcPr>
            <w:tcW w:type="dxa" w:w="2160"/>
            <w:shd w:fill="F4F1E9"/>
          </w:tcPr>
          <w:p>
            <w:pPr>
              <w:spacing w:before="100" w:after="100"/>
            </w:pPr>
            <w:r>
              <w:rPr>
                <w:rFonts w:ascii="Arial" w:hAnsi="Arial"/>
                <w:b/>
                <w:sz w:val="18"/>
              </w:rPr>
              <w:t>03  Network endpoint B</w:t>
            </w:r>
          </w:p>
        </w:tc>
        <w:tc>
          <w:tcPr>
            <w:tcW w:type="dxa" w:w="7200"/>
            <w:shd w:fill="F4F1E9"/>
          </w:tcPr>
          <w:p>
            <w:pPr>
              <w:spacing w:before="100" w:after="100"/>
            </w:pPr>
            <w:r>
              <w:rPr>
                <w:rFonts w:ascii="Arial" w:hAnsi="Arial"/>
                <w:sz w:val="18"/>
              </w:rPr>
              <w:t>Mount, radio, enclosure and local distribution</w:t>
            </w:r>
          </w:p>
        </w:tc>
      </w:tr>
      <w:tr>
        <w:tc>
          <w:tcPr>
            <w:tcW w:type="dxa" w:w="2160"/>
            <w:shd w:fill="FFFFFF"/>
          </w:tcPr>
          <w:p>
            <w:pPr>
              <w:spacing w:before="100" w:after="100"/>
            </w:pPr>
            <w:r>
              <w:rPr>
                <w:rFonts w:ascii="Arial" w:hAnsi="Arial"/>
                <w:b/>
                <w:sz w:val="18"/>
              </w:rPr>
              <w:t>04  Service/fallback</w:t>
            </w:r>
          </w:p>
        </w:tc>
        <w:tc>
          <w:tcPr>
            <w:tcW w:type="dxa" w:w="7200"/>
            <w:shd w:fill="FFFFFF"/>
          </w:tcPr>
          <w:p>
            <w:pPr>
              <w:spacing w:before="100" w:after="100"/>
            </w:pPr>
            <w:r>
              <w:rPr>
                <w:rFonts w:ascii="Arial" w:hAnsi="Arial"/>
                <w:sz w:val="18"/>
              </w:rPr>
              <w:t>Applications carried, monitoring, spares and alternate access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A remote building or yard lacks a practical wired route</w:t>
      </w:r>
    </w:p>
    <w:p>
      <w:pPr>
        <w:keepNext w:val="0"/>
        <w:spacing w:before="0" w:after="100" w:line="269" w:lineRule="auto"/>
        <w:ind w:left="187" w:hanging="187"/>
      </w:pPr>
      <w:r>
        <w:rPr>
          <w:rFonts w:ascii="Arial" w:hAnsi="Arial"/>
          <w:b w:val="0"/>
          <w:color w:val="181818"/>
          <w:sz w:val="20"/>
        </w:rPr>
        <w:t>•  Temporary construction or event connectivity is needed</w:t>
      </w:r>
    </w:p>
    <w:p>
      <w:pPr>
        <w:keepNext w:val="0"/>
        <w:spacing w:before="0" w:after="100" w:line="269" w:lineRule="auto"/>
        <w:ind w:left="187" w:hanging="187"/>
      </w:pPr>
      <w:r>
        <w:rPr>
          <w:rFonts w:ascii="Arial" w:hAnsi="Arial"/>
          <w:b w:val="0"/>
          <w:color w:val="181818"/>
          <w:sz w:val="20"/>
        </w:rPr>
        <w:t>•  Outdoor cameras, gates or operational devices need coverage</w:t>
      </w:r>
    </w:p>
    <w:p>
      <w:pPr>
        <w:keepNext w:val="0"/>
        <w:spacing w:before="0" w:after="100" w:line="269" w:lineRule="auto"/>
        <w:ind w:left="187" w:hanging="187"/>
      </w:pPr>
      <w:r>
        <w:rPr>
          <w:rFonts w:ascii="Arial" w:hAnsi="Arial"/>
          <w:b w:val="0"/>
          <w:color w:val="181818"/>
          <w:sz w:val="20"/>
        </w:rPr>
        <w:t>•  An existing bridge is unstable during weather or seasonal growth</w:t>
      </w:r>
    </w:p>
    <w:p>
      <w:r>
        <w:br w:type="page"/>
      </w:r>
    </w:p>
    <w:p>
      <w:pPr>
        <w:keepNext/>
        <w:spacing w:before="1200" w:after="160" w:line="269" w:lineRule="auto"/>
      </w:pPr>
      <w:r>
        <w:rPr>
          <w:rFonts w:ascii="Arial" w:hAnsi="Arial"/>
          <w:b/>
          <w:color w:val="9B792B"/>
          <w:sz w:val="18"/>
        </w:rPr>
        <w:t>GHT-SVC-017 / OUTDOOR AND POINT-TO-POINT WIRELESS</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Path study</w:t>
      </w:r>
    </w:p>
    <w:p>
      <w:pPr>
        <w:keepNext w:val="0"/>
        <w:spacing w:before="0" w:after="80" w:line="269" w:lineRule="auto"/>
      </w:pPr>
      <w:r>
        <w:rPr>
          <w:rFonts w:ascii="Arial" w:hAnsi="Arial"/>
          <w:b w:val="0"/>
          <w:color w:val="181818"/>
          <w:sz w:val="20"/>
        </w:rPr>
        <w:t>Confirm coordinates, elevations, obstructions, Fresnel clearance, spectrum and access at both ends.</w:t>
      </w:r>
    </w:p>
    <w:p>
      <w:pPr>
        <w:keepNext w:val="0"/>
        <w:spacing w:before="0" w:after="140" w:line="269" w:lineRule="auto"/>
      </w:pPr>
      <w:r>
        <w:rPr>
          <w:rFonts w:ascii="Arial" w:hAnsi="Arial"/>
          <w:b/>
          <w:color w:val="181818"/>
          <w:sz w:val="18"/>
        </w:rPr>
        <w:t>Acceptance evidence: Path profile, site photos and feasibility/risk record</w:t>
      </w:r>
    </w:p>
    <w:p>
      <w:pPr>
        <w:keepNext/>
        <w:spacing w:before="200" w:after="120" w:line="269" w:lineRule="auto"/>
      </w:pPr>
      <w:r>
        <w:rPr>
          <w:rFonts w:ascii="Arial" w:hAnsi="Arial"/>
          <w:b/>
          <w:color w:val="9B792B"/>
          <w:sz w:val="24"/>
        </w:rPr>
        <w:t>02  Link and site design</w:t>
      </w:r>
    </w:p>
    <w:p>
      <w:pPr>
        <w:keepNext w:val="0"/>
        <w:spacing w:before="0" w:after="80" w:line="269" w:lineRule="auto"/>
      </w:pPr>
      <w:r>
        <w:rPr>
          <w:rFonts w:ascii="Arial" w:hAnsi="Arial"/>
          <w:b w:val="0"/>
          <w:color w:val="181818"/>
          <w:sz w:val="20"/>
        </w:rPr>
        <w:t>Calculate the link, select radios/antennas, mounts, power, cable entry and network policy.</w:t>
      </w:r>
    </w:p>
    <w:p>
      <w:pPr>
        <w:keepNext w:val="0"/>
        <w:spacing w:before="0" w:after="140" w:line="269" w:lineRule="auto"/>
      </w:pPr>
      <w:r>
        <w:rPr>
          <w:rFonts w:ascii="Arial" w:hAnsi="Arial"/>
          <w:b/>
          <w:color w:val="181818"/>
          <w:sz w:val="18"/>
        </w:rPr>
        <w:t>Acceptance evidence: Link budget, mounting details and endpoint schedule</w:t>
      </w:r>
    </w:p>
    <w:p>
      <w:pPr>
        <w:keepNext/>
        <w:spacing w:before="200" w:after="120" w:line="269" w:lineRule="auto"/>
      </w:pPr>
      <w:r>
        <w:rPr>
          <w:rFonts w:ascii="Arial" w:hAnsi="Arial"/>
          <w:b/>
          <w:color w:val="9B792B"/>
          <w:sz w:val="24"/>
        </w:rPr>
        <w:t>03  Install and align</w:t>
      </w:r>
    </w:p>
    <w:p>
      <w:pPr>
        <w:keepNext w:val="0"/>
        <w:spacing w:before="0" w:after="80" w:line="269" w:lineRule="auto"/>
      </w:pPr>
      <w:r>
        <w:rPr>
          <w:rFonts w:ascii="Arial" w:hAnsi="Arial"/>
          <w:b w:val="0"/>
          <w:color w:val="181818"/>
          <w:sz w:val="20"/>
        </w:rPr>
        <w:t>Mount securely, weatherproof transitions, coordinate bonding/surge work and align to planned levels.</w:t>
      </w:r>
    </w:p>
    <w:p>
      <w:pPr>
        <w:keepNext w:val="0"/>
        <w:spacing w:before="0" w:after="140" w:line="269" w:lineRule="auto"/>
      </w:pPr>
      <w:r>
        <w:rPr>
          <w:rFonts w:ascii="Arial" w:hAnsi="Arial"/>
          <w:b/>
          <w:color w:val="181818"/>
          <w:sz w:val="18"/>
        </w:rPr>
        <w:t>Acceptance evidence: Installation photos, alignment values and configuration record</w:t>
      </w:r>
    </w:p>
    <w:p>
      <w:pPr>
        <w:keepNext/>
        <w:spacing w:before="200" w:after="120" w:line="269" w:lineRule="auto"/>
      </w:pPr>
      <w:r>
        <w:rPr>
          <w:rFonts w:ascii="Arial" w:hAnsi="Arial"/>
          <w:b/>
          <w:color w:val="9B792B"/>
          <w:sz w:val="24"/>
        </w:rPr>
        <w:t>04  Validate and baseline</w:t>
      </w:r>
    </w:p>
    <w:p>
      <w:pPr>
        <w:keepNext w:val="0"/>
        <w:spacing w:before="0" w:after="80" w:line="269" w:lineRule="auto"/>
      </w:pPr>
      <w:r>
        <w:rPr>
          <w:rFonts w:ascii="Arial" w:hAnsi="Arial"/>
          <w:b w:val="0"/>
          <w:color w:val="181818"/>
          <w:sz w:val="20"/>
        </w:rPr>
        <w:t>Measure signal, noise, modulation, throughput and application behavior under agreed conditions.</w:t>
      </w:r>
    </w:p>
    <w:p>
      <w:pPr>
        <w:keepNext w:val="0"/>
        <w:spacing w:before="0" w:after="140" w:line="269" w:lineRule="auto"/>
      </w:pPr>
      <w:r>
        <w:rPr>
          <w:rFonts w:ascii="Arial" w:hAnsi="Arial"/>
          <w:b/>
          <w:color w:val="181818"/>
          <w:sz w:val="18"/>
        </w:rPr>
        <w:t>Acceptance evidence: Link-health baseline, performance results and maintenance runbook</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Path profile and RF link budget</w:t>
      </w:r>
    </w:p>
    <w:p>
      <w:pPr>
        <w:keepNext w:val="0"/>
        <w:spacing w:before="0" w:after="100" w:line="269" w:lineRule="auto"/>
        <w:ind w:left="187" w:hanging="187"/>
      </w:pPr>
      <w:r>
        <w:rPr>
          <w:rFonts w:ascii="Arial" w:hAnsi="Arial"/>
          <w:b w:val="0"/>
          <w:color w:val="181818"/>
          <w:sz w:val="20"/>
        </w:rPr>
        <w:t>•  Endpoint/mounting and cable-entry plan</w:t>
      </w:r>
    </w:p>
    <w:p>
      <w:pPr>
        <w:keepNext w:val="0"/>
        <w:spacing w:before="0" w:after="100" w:line="269" w:lineRule="auto"/>
        <w:ind w:left="187" w:hanging="187"/>
      </w:pPr>
      <w:r>
        <w:rPr>
          <w:rFonts w:ascii="Arial" w:hAnsi="Arial"/>
          <w:b w:val="0"/>
          <w:color w:val="181818"/>
          <w:sz w:val="20"/>
        </w:rPr>
        <w:t>•  Frequency/configuration and network-policy record</w:t>
      </w:r>
    </w:p>
    <w:p>
      <w:pPr>
        <w:keepNext w:val="0"/>
        <w:spacing w:before="0" w:after="100" w:line="269" w:lineRule="auto"/>
        <w:ind w:left="187" w:hanging="187"/>
      </w:pPr>
      <w:r>
        <w:rPr>
          <w:rFonts w:ascii="Arial" w:hAnsi="Arial"/>
          <w:b w:val="0"/>
          <w:color w:val="181818"/>
          <w:sz w:val="20"/>
        </w:rPr>
        <w:t>•  Alignment and performance baseline</w:t>
      </w:r>
    </w:p>
    <w:p>
      <w:pPr>
        <w:keepNext w:val="0"/>
        <w:spacing w:before="0" w:after="100" w:line="269" w:lineRule="auto"/>
        <w:ind w:left="187" w:hanging="187"/>
      </w:pPr>
      <w:r>
        <w:rPr>
          <w:rFonts w:ascii="Arial" w:hAnsi="Arial"/>
          <w:b w:val="0"/>
          <w:color w:val="181818"/>
          <w:sz w:val="20"/>
        </w:rPr>
        <w:t>•  As-built photos, inventory and maintenance/recovery runbook</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GHT-SVC-017 / OUTDOOR AND POINT-TO-POINT WIRELESS</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Endpoint coordinates, heights and path distance</w:t>
      </w:r>
    </w:p>
    <w:p>
      <w:pPr>
        <w:keepNext w:val="0"/>
        <w:spacing w:before="0" w:after="100" w:line="269" w:lineRule="auto"/>
        <w:ind w:left="187" w:hanging="187"/>
      </w:pPr>
      <w:r>
        <w:rPr>
          <w:rFonts w:ascii="Arial" w:hAnsi="Arial"/>
          <w:b w:val="0"/>
          <w:color w:val="181818"/>
          <w:sz w:val="20"/>
        </w:rPr>
        <w:t>•  Terrain, foliage, structures and seasonal obstruction</w:t>
      </w:r>
    </w:p>
    <w:p>
      <w:pPr>
        <w:keepNext w:val="0"/>
        <w:spacing w:before="0" w:after="100" w:line="269" w:lineRule="auto"/>
        <w:ind w:left="187" w:hanging="187"/>
      </w:pPr>
      <w:r>
        <w:rPr>
          <w:rFonts w:ascii="Arial" w:hAnsi="Arial"/>
          <w:b w:val="0"/>
          <w:color w:val="181818"/>
          <w:sz w:val="20"/>
        </w:rPr>
        <w:t>•  Capacity, latency and application requirements</w:t>
      </w:r>
    </w:p>
    <w:p>
      <w:pPr>
        <w:keepNext w:val="0"/>
        <w:spacing w:before="0" w:after="100" w:line="269" w:lineRule="auto"/>
        <w:ind w:left="187" w:hanging="187"/>
      </w:pPr>
      <w:r>
        <w:rPr>
          <w:rFonts w:ascii="Arial" w:hAnsi="Arial"/>
          <w:b w:val="0"/>
          <w:color w:val="181818"/>
          <w:sz w:val="20"/>
        </w:rPr>
        <w:t>•  Available spectrum and interference survey</w:t>
      </w:r>
    </w:p>
    <w:p>
      <w:pPr>
        <w:keepNext w:val="0"/>
        <w:spacing w:before="0" w:after="100" w:line="269" w:lineRule="auto"/>
        <w:ind w:left="187" w:hanging="187"/>
      </w:pPr>
      <w:r>
        <w:rPr>
          <w:rFonts w:ascii="Arial" w:hAnsi="Arial"/>
          <w:b w:val="0"/>
          <w:color w:val="181818"/>
          <w:sz w:val="20"/>
        </w:rPr>
        <w:t>•  Mounting, structural, power, grounding and safe-access conditions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Fresnel obstruction, foliage and future construction</w:t>
      </w:r>
    </w:p>
    <w:p>
      <w:pPr>
        <w:keepNext w:val="0"/>
        <w:spacing w:before="0" w:after="100" w:line="269" w:lineRule="auto"/>
        <w:ind w:left="187" w:hanging="187"/>
      </w:pPr>
      <w:r>
        <w:rPr>
          <w:rFonts w:ascii="Arial" w:hAnsi="Arial"/>
          <w:b w:val="0"/>
          <w:color w:val="181818"/>
          <w:sz w:val="20"/>
        </w:rPr>
        <w:t>•  Spectrum rules and changing interference</w:t>
      </w:r>
    </w:p>
    <w:p>
      <w:pPr>
        <w:keepNext w:val="0"/>
        <w:spacing w:before="0" w:after="100" w:line="269" w:lineRule="auto"/>
        <w:ind w:left="187" w:hanging="187"/>
      </w:pPr>
      <w:r>
        <w:rPr>
          <w:rFonts w:ascii="Arial" w:hAnsi="Arial"/>
          <w:b w:val="0"/>
          <w:color w:val="181818"/>
          <w:sz w:val="20"/>
        </w:rPr>
        <w:t>•  Wind, water, temperature, lightning and mounting movement</w:t>
      </w:r>
    </w:p>
    <w:p>
      <w:pPr>
        <w:keepNext w:val="0"/>
        <w:spacing w:before="0" w:after="100" w:line="269" w:lineRule="auto"/>
        <w:ind w:left="187" w:hanging="187"/>
      </w:pPr>
      <w:r>
        <w:rPr>
          <w:rFonts w:ascii="Arial" w:hAnsi="Arial"/>
          <w:b w:val="0"/>
          <w:color w:val="181818"/>
          <w:sz w:val="20"/>
        </w:rPr>
        <w:t>•  Safe roof/tower access, power and service restoration time</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IEEE 802.11 Working Group — About IEEE 802.11</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Electronic Code of Federal Regulations — 47 CFR Part 15: Radio Frequency Devices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BICSI — BICSI Library of ICT Manuals and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ieee802.org/11/abt80211.html" TargetMode="External"/><Relationship Id="rId13" Type="http://schemas.openxmlformats.org/officeDocument/2006/relationships/hyperlink" Target="https://www.ecfr.gov/current/title-47/chapter-I/subchapter-A/part-15" TargetMode="External"/><Relationship Id="rId14" Type="http://schemas.openxmlformats.org/officeDocument/2006/relationships/hyperlink" Target="https://shop.bicsi.org/technical-manuals/bicsi-library" TargetMode="External"/><Relationship Id="rId15" Type="http://schemas.openxmlformats.org/officeDocument/2006/relationships/hyperlink" Target="https://ght.network/services/networks-wireless/outdoor-point-to-point-wirel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Outdoor and point-to-point wireless — Service specification</dc:title>
  <dc:subject>Outdoor wireless extends network service to remote buildings, cameras, gates, and equipment.</dc:subject>
  <dc:creator>Glass House Technologies</dc:creator>
  <cp:keywords>Networks and wireless,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