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PHYSICAL SECURITY</w:t>
      </w:r>
    </w:p>
    <w:p>
      <w:pPr>
        <w:keepNext/>
        <w:spacing w:before="0" w:after="180" w:line="269" w:lineRule="auto"/>
      </w:pPr>
      <w:r>
        <w:rPr>
          <w:rFonts w:ascii="Arial" w:hAnsi="Arial"/>
          <w:b/>
          <w:color w:val="181818"/>
          <w:sz w:val="48"/>
        </w:rPr>
        <w:t>Parking, perimeter, and vehicle entry</w:t>
      </w:r>
    </w:p>
    <w:p>
      <w:pPr>
        <w:keepNext w:val="0"/>
        <w:spacing w:before="0" w:after="240" w:line="269" w:lineRule="auto"/>
      </w:pPr>
      <w:r>
        <w:rPr>
          <w:rFonts w:ascii="Arial" w:hAnsi="Arial"/>
          <w:b w:val="0"/>
          <w:color w:val="646464"/>
          <w:sz w:val="17"/>
        </w:rPr>
        <w:t>GHT-SVC-024   •   Revision 1.0   •   06 September 2026   •   1 / 3</w:t>
      </w:r>
    </w:p>
    <w:p>
      <w:pPr>
        <w:keepNext w:val="0"/>
        <w:spacing w:before="0" w:after="180" w:line="269" w:lineRule="auto"/>
      </w:pPr>
      <w:r>
        <w:rPr>
          <w:rFonts w:ascii="Arial" w:hAnsi="Arial"/>
          <w:b w:val="0"/>
          <w:color w:val="181818"/>
          <w:sz w:val="22"/>
        </w:rPr>
        <w:t>Lane geometry, credentials, gates, safety inputs, intercoms, cameras, lighting, outdoor networks, power, drainage, civil pathways, and manual release, engineered together.</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A tested vehicle-entry system with approved safe states, usable day and night views, working exception paths, and maintainable outdoor connections.</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Parking and perimeter systems may include gates, loops or other presence detection, safety edges and photo eyes, credential readers, intercoms, cameras, vehicle-detail imaging, lighting, call stations, outdoor switches, fiber or wireless links, and management software.</w:t>
      </w:r>
    </w:p>
    <w:p>
      <w:pPr>
        <w:keepNext w:val="0"/>
        <w:spacing w:before="0" w:after="120" w:line="269" w:lineRule="auto"/>
      </w:pPr>
      <w:r>
        <w:rPr>
          <w:rFonts w:ascii="Arial" w:hAnsi="Arial"/>
          <w:b w:val="0"/>
          <w:color w:val="181818"/>
          <w:sz w:val="20"/>
        </w:rPr>
        <w:t>The scope crosses security, civil, electrical, gate-operator, accessibility, traffic, and life-safety responsibilities. Qualified trades and authorities should review their portions; the technology design must record interface and ownership boundaries.</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Approach</w:t>
            </w:r>
          </w:p>
        </w:tc>
        <w:tc>
          <w:tcPr>
            <w:tcW w:type="dxa" w:w="7200"/>
            <w:shd w:fill="F4F1E9"/>
          </w:tcPr>
          <w:p>
            <w:pPr>
              <w:spacing w:before="100" w:after="100"/>
            </w:pPr>
            <w:r>
              <w:rPr>
                <w:rFonts w:ascii="Arial" w:hAnsi="Arial"/>
                <w:sz w:val="18"/>
              </w:rPr>
              <w:t>Lane geometry, queue, signage, lighting, pedestrians, accessible route</w:t>
            </w:r>
          </w:p>
        </w:tc>
      </w:tr>
      <w:tr>
        <w:tc>
          <w:tcPr>
            <w:tcW w:type="dxa" w:w="2160"/>
            <w:shd w:fill="FFFFFF"/>
          </w:tcPr>
          <w:p>
            <w:pPr>
              <w:spacing w:before="100" w:after="100"/>
            </w:pPr>
            <w:r>
              <w:rPr>
                <w:rFonts w:ascii="Arial" w:hAnsi="Arial"/>
                <w:b/>
                <w:sz w:val="18"/>
              </w:rPr>
              <w:t>02  Decision</w:t>
            </w:r>
          </w:p>
        </w:tc>
        <w:tc>
          <w:tcPr>
            <w:tcW w:type="dxa" w:w="7200"/>
            <w:shd w:fill="FFFFFF"/>
          </w:tcPr>
          <w:p>
            <w:pPr>
              <w:spacing w:before="100" w:after="100"/>
            </w:pPr>
            <w:r>
              <w:rPr>
                <w:rFonts w:ascii="Arial" w:hAnsi="Arial"/>
                <w:sz w:val="18"/>
              </w:rPr>
              <w:t>Credential, intercom, host, schedule, vehicle detail, exception policy</w:t>
            </w:r>
          </w:p>
        </w:tc>
      </w:tr>
      <w:tr>
        <w:tc>
          <w:tcPr>
            <w:tcW w:type="dxa" w:w="2160"/>
            <w:shd w:fill="F4F1E9"/>
          </w:tcPr>
          <w:p>
            <w:pPr>
              <w:spacing w:before="100" w:after="100"/>
            </w:pPr>
            <w:r>
              <w:rPr>
                <w:rFonts w:ascii="Arial" w:hAnsi="Arial"/>
                <w:b/>
                <w:sz w:val="18"/>
              </w:rPr>
              <w:t>03  Barrier and safety</w:t>
            </w:r>
          </w:p>
        </w:tc>
        <w:tc>
          <w:tcPr>
            <w:tcW w:type="dxa" w:w="7200"/>
            <w:shd w:fill="F4F1E9"/>
          </w:tcPr>
          <w:p>
            <w:pPr>
              <w:spacing w:before="100" w:after="100"/>
            </w:pPr>
            <w:r>
              <w:rPr>
                <w:rFonts w:ascii="Arial" w:hAnsi="Arial"/>
                <w:sz w:val="18"/>
              </w:rPr>
              <w:t>Operator, detection, safety edge or beam, manual and emergency behavior</w:t>
            </w:r>
          </w:p>
        </w:tc>
      </w:tr>
      <w:tr>
        <w:tc>
          <w:tcPr>
            <w:tcW w:type="dxa" w:w="2160"/>
            <w:shd w:fill="FFFFFF"/>
          </w:tcPr>
          <w:p>
            <w:pPr>
              <w:spacing w:before="100" w:after="100"/>
            </w:pPr>
            <w:r>
              <w:rPr>
                <w:rFonts w:ascii="Arial" w:hAnsi="Arial"/>
                <w:b/>
                <w:sz w:val="18"/>
              </w:rPr>
              <w:t>04  Infrastructure</w:t>
            </w:r>
          </w:p>
        </w:tc>
        <w:tc>
          <w:tcPr>
            <w:tcW w:type="dxa" w:w="7200"/>
            <w:shd w:fill="FFFFFF"/>
          </w:tcPr>
          <w:p>
            <w:pPr>
              <w:spacing w:before="100" w:after="100"/>
            </w:pPr>
            <w:r>
              <w:rPr>
                <w:rFonts w:ascii="Arial" w:hAnsi="Arial"/>
                <w:sz w:val="18"/>
              </w:rPr>
              <w:t>Power, grounding, surge protection, drainage, outdoor network, pathway, management</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Vehicle queues block public roads, fire lanes, or internal circulation</w:t>
      </w:r>
    </w:p>
    <w:p>
      <w:pPr>
        <w:keepNext w:val="0"/>
        <w:spacing w:before="0" w:after="100" w:line="269" w:lineRule="auto"/>
        <w:ind w:left="187" w:hanging="187"/>
      </w:pPr>
      <w:r>
        <w:rPr>
          <w:rFonts w:ascii="Arial" w:hAnsi="Arial"/>
          <w:b w:val="0"/>
          <w:color w:val="181818"/>
          <w:sz w:val="20"/>
        </w:rPr>
        <w:t>•  Gate calls, credentials, and camera views are handled in separate workflows</w:t>
      </w:r>
    </w:p>
    <w:p>
      <w:pPr>
        <w:keepNext w:val="0"/>
        <w:spacing w:before="0" w:after="100" w:line="269" w:lineRule="auto"/>
        <w:ind w:left="187" w:hanging="187"/>
      </w:pPr>
      <w:r>
        <w:rPr>
          <w:rFonts w:ascii="Arial" w:hAnsi="Arial"/>
          <w:b w:val="0"/>
          <w:color w:val="181818"/>
          <w:sz w:val="20"/>
        </w:rPr>
        <w:t>•  Long exterior links rely on exposed copper or unsupported wireless</w:t>
      </w:r>
    </w:p>
    <w:p>
      <w:pPr>
        <w:keepNext w:val="0"/>
        <w:spacing w:before="0" w:after="100" w:line="269" w:lineRule="auto"/>
        <w:ind w:left="187" w:hanging="187"/>
      </w:pPr>
      <w:r>
        <w:rPr>
          <w:rFonts w:ascii="Arial" w:hAnsi="Arial"/>
          <w:b w:val="0"/>
          <w:color w:val="181818"/>
          <w:sz w:val="20"/>
        </w:rPr>
        <w:t>•  Weather, lighting, drainage, or vehicle speed makes detection unreliable</w:t>
      </w:r>
    </w:p>
    <w:p>
      <w:r>
        <w:br w:type="page"/>
      </w:r>
    </w:p>
    <w:p>
      <w:pPr>
        <w:keepNext/>
        <w:spacing w:before="1200" w:after="160" w:line="269" w:lineRule="auto"/>
      </w:pPr>
      <w:r>
        <w:rPr>
          <w:rFonts w:ascii="Arial" w:hAnsi="Arial"/>
          <w:b/>
          <w:color w:val="9B792B"/>
          <w:sz w:val="18"/>
        </w:rPr>
        <w:t>GHT-SVC-024 / PARKING, PERIMETER, AND VEHICLE ENTRY</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Observe the approach</w:t>
      </w:r>
    </w:p>
    <w:p>
      <w:pPr>
        <w:keepNext w:val="0"/>
        <w:spacing w:before="0" w:after="80" w:line="269" w:lineRule="auto"/>
      </w:pPr>
      <w:r>
        <w:rPr>
          <w:rFonts w:ascii="Arial" w:hAnsi="Arial"/>
          <w:b w:val="0"/>
          <w:color w:val="181818"/>
          <w:sz w:val="20"/>
        </w:rPr>
        <w:t>Map lanes, queues, turns, speeds, vehicles, pedestrians, accessibility, lighting, weather, drainage, power, pathways, existing gate hardware, and response staff.</w:t>
      </w:r>
    </w:p>
    <w:p>
      <w:pPr>
        <w:keepNext w:val="0"/>
        <w:spacing w:before="0" w:after="140" w:line="269" w:lineRule="auto"/>
      </w:pPr>
      <w:r>
        <w:rPr>
          <w:rFonts w:ascii="Arial" w:hAnsi="Arial"/>
          <w:b/>
          <w:color w:val="181818"/>
          <w:sz w:val="18"/>
        </w:rPr>
        <w:t>Acceptance evidence: Annotated site plan, approach photos, traffic and exception observations, and responsibility inventory.</w:t>
      </w:r>
    </w:p>
    <w:p>
      <w:pPr>
        <w:keepNext/>
        <w:spacing w:before="200" w:after="120" w:line="269" w:lineRule="auto"/>
      </w:pPr>
      <w:r>
        <w:rPr>
          <w:rFonts w:ascii="Arial" w:hAnsi="Arial"/>
          <w:b/>
          <w:color w:val="9B792B"/>
          <w:sz w:val="24"/>
        </w:rPr>
        <w:t>02  Design states and interfaces</w:t>
      </w:r>
    </w:p>
    <w:p>
      <w:pPr>
        <w:keepNext w:val="0"/>
        <w:spacing w:before="0" w:after="80" w:line="269" w:lineRule="auto"/>
      </w:pPr>
      <w:r>
        <w:rPr>
          <w:rFonts w:ascii="Arial" w:hAnsi="Arial"/>
          <w:b w:val="0"/>
          <w:color w:val="181818"/>
          <w:sz w:val="20"/>
        </w:rPr>
        <w:t>Define credential, intercom, visitor, delivery, denied-entry, emergency, power-loss, network-loss, gate safety, camera, and manual-release behavior.</w:t>
      </w:r>
    </w:p>
    <w:p>
      <w:pPr>
        <w:keepNext w:val="0"/>
        <w:spacing w:before="0" w:after="140" w:line="269" w:lineRule="auto"/>
      </w:pPr>
      <w:r>
        <w:rPr>
          <w:rFonts w:ascii="Arial" w:hAnsi="Arial"/>
          <w:b/>
          <w:color w:val="181818"/>
          <w:sz w:val="18"/>
        </w:rPr>
        <w:t>Acceptance evidence: Lane-state matrix, device and view plan, pathway and network design, interface schedule, and safe-state decisions.</w:t>
      </w:r>
    </w:p>
    <w:p>
      <w:pPr>
        <w:keepNext/>
        <w:spacing w:before="200" w:after="120" w:line="269" w:lineRule="auto"/>
      </w:pPr>
      <w:r>
        <w:rPr>
          <w:rFonts w:ascii="Arial" w:hAnsi="Arial"/>
          <w:b/>
          <w:color w:val="9B792B"/>
          <w:sz w:val="24"/>
        </w:rPr>
        <w:t>03  Coordinate field work</w:t>
      </w:r>
    </w:p>
    <w:p>
      <w:pPr>
        <w:keepNext w:val="0"/>
        <w:spacing w:before="0" w:after="80" w:line="269" w:lineRule="auto"/>
      </w:pPr>
      <w:r>
        <w:rPr>
          <w:rFonts w:ascii="Arial" w:hAnsi="Arial"/>
          <w:b w:val="0"/>
          <w:color w:val="181818"/>
          <w:sz w:val="20"/>
        </w:rPr>
        <w:t>Sequence civil pathways, foundations, electrical, gate operator, safety devices, communications, cameras, access hardware, and labeling.</w:t>
      </w:r>
    </w:p>
    <w:p>
      <w:pPr>
        <w:keepNext w:val="0"/>
        <w:spacing w:before="0" w:after="140" w:line="269" w:lineRule="auto"/>
      </w:pPr>
      <w:r>
        <w:rPr>
          <w:rFonts w:ascii="Arial" w:hAnsi="Arial"/>
          <w:b/>
          <w:color w:val="181818"/>
          <w:sz w:val="18"/>
        </w:rPr>
        <w:t>Acceptance evidence: Coordination record, labeled equipment, cable and fiber test results, device inventory, and installation photos.</w:t>
      </w:r>
    </w:p>
    <w:p>
      <w:pPr>
        <w:keepNext/>
        <w:spacing w:before="200" w:after="120" w:line="269" w:lineRule="auto"/>
      </w:pPr>
      <w:r>
        <w:rPr>
          <w:rFonts w:ascii="Arial" w:hAnsi="Arial"/>
          <w:b/>
          <w:color w:val="9B792B"/>
          <w:sz w:val="24"/>
        </w:rPr>
        <w:t>04  Exercise the lane</w:t>
      </w:r>
    </w:p>
    <w:p>
      <w:pPr>
        <w:keepNext w:val="0"/>
        <w:spacing w:before="0" w:after="80" w:line="269" w:lineRule="auto"/>
      </w:pPr>
      <w:r>
        <w:rPr>
          <w:rFonts w:ascii="Arial" w:hAnsi="Arial"/>
          <w:b w:val="0"/>
          <w:color w:val="181818"/>
          <w:sz w:val="20"/>
        </w:rPr>
        <w:t>Test each credential and visitor path, intercom call, camera view, vehicle class, safety input, manual release, power and network state, and after-dark condition.</w:t>
      </w:r>
    </w:p>
    <w:p>
      <w:pPr>
        <w:keepNext w:val="0"/>
        <w:spacing w:before="0" w:after="140" w:line="269" w:lineRule="auto"/>
      </w:pPr>
      <w:r>
        <w:rPr>
          <w:rFonts w:ascii="Arial" w:hAnsi="Arial"/>
          <w:b/>
          <w:color w:val="181818"/>
          <w:sz w:val="18"/>
        </w:rPr>
        <w:t>Acceptance evidence: Scenario acceptance sheets, day/night vehicle samples, event records, safe-state tests, and operator handoff.</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Annotated lane and perimeter plan</w:t>
      </w:r>
    </w:p>
    <w:p>
      <w:pPr>
        <w:keepNext w:val="0"/>
        <w:spacing w:before="0" w:after="100" w:line="269" w:lineRule="auto"/>
        <w:ind w:left="187" w:hanging="187"/>
      </w:pPr>
      <w:r>
        <w:rPr>
          <w:rFonts w:ascii="Arial" w:hAnsi="Arial"/>
          <w:b w:val="0"/>
          <w:color w:val="181818"/>
          <w:sz w:val="20"/>
        </w:rPr>
        <w:t>•  Vehicle workflow and safe-state matrix</w:t>
      </w:r>
    </w:p>
    <w:p>
      <w:pPr>
        <w:keepNext w:val="0"/>
        <w:spacing w:before="0" w:after="100" w:line="269" w:lineRule="auto"/>
        <w:ind w:left="187" w:hanging="187"/>
      </w:pPr>
      <w:r>
        <w:rPr>
          <w:rFonts w:ascii="Arial" w:hAnsi="Arial"/>
          <w:b w:val="0"/>
          <w:color w:val="181818"/>
          <w:sz w:val="20"/>
        </w:rPr>
        <w:t>•  Civil, electrical, gate, network, camera, and access interface schedule</w:t>
      </w:r>
    </w:p>
    <w:p>
      <w:pPr>
        <w:keepNext w:val="0"/>
        <w:spacing w:before="0" w:after="100" w:line="269" w:lineRule="auto"/>
        <w:ind w:left="187" w:hanging="187"/>
      </w:pPr>
      <w:r>
        <w:rPr>
          <w:rFonts w:ascii="Arial" w:hAnsi="Arial"/>
          <w:b w:val="0"/>
          <w:color w:val="181818"/>
          <w:sz w:val="20"/>
        </w:rPr>
        <w:t>•  Outdoor link and device acceptance evidence</w:t>
      </w:r>
    </w:p>
    <w:p>
      <w:pPr>
        <w:keepNext w:val="0"/>
        <w:spacing w:before="0" w:after="100" w:line="269" w:lineRule="auto"/>
        <w:ind w:left="187" w:hanging="187"/>
      </w:pPr>
      <w:r>
        <w:rPr>
          <w:rFonts w:ascii="Arial" w:hAnsi="Arial"/>
          <w:b w:val="0"/>
          <w:color w:val="181818"/>
          <w:sz w:val="20"/>
        </w:rPr>
        <w:t>•  Day/night view samples, scenario tests, as-builts, and operator guide</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GHT-SVC-024 / PARKING, PERIMETER, AND VEHICLE ENTRY</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Site plan, property line, lanes, queues, traffic classes, pedestrians, and accessible routes</w:t>
      </w:r>
    </w:p>
    <w:p>
      <w:pPr>
        <w:keepNext w:val="0"/>
        <w:spacing w:before="0" w:after="100" w:line="269" w:lineRule="auto"/>
        <w:ind w:left="187" w:hanging="187"/>
      </w:pPr>
      <w:r>
        <w:rPr>
          <w:rFonts w:ascii="Arial" w:hAnsi="Arial"/>
          <w:b w:val="0"/>
          <w:color w:val="181818"/>
          <w:sz w:val="20"/>
        </w:rPr>
        <w:t>•  Credential, visitor, delivery, intercom, denial, and emergency workflows</w:t>
      </w:r>
    </w:p>
    <w:p>
      <w:pPr>
        <w:keepNext w:val="0"/>
        <w:spacing w:before="0" w:after="100" w:line="269" w:lineRule="auto"/>
        <w:ind w:left="187" w:hanging="187"/>
      </w:pPr>
      <w:r>
        <w:rPr>
          <w:rFonts w:ascii="Arial" w:hAnsi="Arial"/>
          <w:b w:val="0"/>
          <w:color w:val="181818"/>
          <w:sz w:val="20"/>
        </w:rPr>
        <w:t>•  Gate operator, safety devices, manual release, required safe state, and authority inputs</w:t>
      </w:r>
    </w:p>
    <w:p>
      <w:pPr>
        <w:keepNext w:val="0"/>
        <w:spacing w:before="0" w:after="100" w:line="269" w:lineRule="auto"/>
        <w:ind w:left="187" w:hanging="187"/>
      </w:pPr>
      <w:r>
        <w:rPr>
          <w:rFonts w:ascii="Arial" w:hAnsi="Arial"/>
          <w:b w:val="0"/>
          <w:color w:val="181818"/>
          <w:sz w:val="20"/>
        </w:rPr>
        <w:t>•  Day/night lighting, weather, drainage, mounting, trenching, power, and surge conditions</w:t>
      </w:r>
    </w:p>
    <w:p>
      <w:pPr>
        <w:keepNext w:val="0"/>
        <w:spacing w:before="0" w:after="100" w:line="269" w:lineRule="auto"/>
        <w:ind w:left="187" w:hanging="187"/>
      </w:pPr>
      <w:r>
        <w:rPr>
          <w:rFonts w:ascii="Arial" w:hAnsi="Arial"/>
          <w:b w:val="0"/>
          <w:color w:val="181818"/>
          <w:sz w:val="20"/>
        </w:rPr>
        <w:t>•  Network distance, bandwidth, fiber or wireless options, recording, and system ownership</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Gate operators, vehicle barriers, accessible routes, egress, fire access, and traffic control require discipline-specific and local review</w:t>
      </w:r>
    </w:p>
    <w:p>
      <w:pPr>
        <w:keepNext w:val="0"/>
        <w:spacing w:before="0" w:after="100" w:line="269" w:lineRule="auto"/>
        <w:ind w:left="187" w:hanging="187"/>
      </w:pPr>
      <w:r>
        <w:rPr>
          <w:rFonts w:ascii="Arial" w:hAnsi="Arial"/>
          <w:b w:val="0"/>
          <w:color w:val="181818"/>
          <w:sz w:val="20"/>
        </w:rPr>
        <w:t>•  License-plate or vehicle analytics do not guarantee a read and may carry privacy or policy obligations</w:t>
      </w:r>
    </w:p>
    <w:p>
      <w:pPr>
        <w:keepNext w:val="0"/>
        <w:spacing w:before="0" w:after="100" w:line="269" w:lineRule="auto"/>
        <w:ind w:left="187" w:hanging="187"/>
      </w:pPr>
      <w:r>
        <w:rPr>
          <w:rFonts w:ascii="Arial" w:hAnsi="Arial"/>
          <w:b w:val="0"/>
          <w:color w:val="181818"/>
          <w:sz w:val="20"/>
        </w:rPr>
        <w:t>•  Outdoor copper, electronics, mounts, and power require environmental, grounding, surge, and maintenance planning</w:t>
      </w:r>
    </w:p>
    <w:p>
      <w:pPr>
        <w:keepNext w:val="0"/>
        <w:spacing w:before="0" w:after="100" w:line="269" w:lineRule="auto"/>
        <w:ind w:left="187" w:hanging="187"/>
      </w:pPr>
      <w:r>
        <w:rPr>
          <w:rFonts w:ascii="Arial" w:hAnsi="Arial"/>
          <w:b w:val="0"/>
          <w:color w:val="181818"/>
          <w:sz w:val="20"/>
        </w:rPr>
        <w:t>•  Civil conditions hidden below grade can change pathway scope after investigation or excavation</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Cybersecurity and Infrastructure Security Agency — Venue Guide for Security Considerations</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United States Access Board — Guide to the ADA Standards: Entrances, Doors, and Gates</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Security Industry Association — Open Supervised Device Protocol</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www.cisa.gov/sites/default/files/2024-11/Venue%20Guide%20for%20Security%20Considerations_508_1.pdf" TargetMode="External"/><Relationship Id="rId13" Type="http://schemas.openxmlformats.org/officeDocument/2006/relationships/hyperlink" Target="https://www.access-board.gov/ada/guides/chapter-4-entrances-doors-and-gates/" TargetMode="External"/><Relationship Id="rId14" Type="http://schemas.openxmlformats.org/officeDocument/2006/relationships/hyperlink" Target="https://www.securityindustry.org/industry-standards/open-supervised-device-protocol/" TargetMode="External"/><Relationship Id="rId15" Type="http://schemas.openxmlformats.org/officeDocument/2006/relationships/hyperlink" Target="https://ght.network/services/physical-security/parking-perimeter-vehicle-ent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Parking, perimeter, and vehicle entry — Service specification</dc:title>
  <dc:subject>Lane geometry, credentials, gates, safety inputs, intercoms, cameras, lighting, outdoor networks, power, drainage, civil pathways, and manual release, engineered together.</dc:subject>
  <dc:creator>Glass House Technologies</dc:creator>
  <cp:keywords>Physical security,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