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PHYSICAL INFRASTRUCTURE</w:t>
      </w:r>
    </w:p>
    <w:p>
      <w:pPr>
        <w:keepNext/>
        <w:spacing w:before="0" w:after="180" w:line="269" w:lineRule="auto"/>
      </w:pPr>
      <w:r>
        <w:rPr>
          <w:rFonts w:ascii="Arial" w:hAnsi="Arial"/>
          <w:b/>
          <w:color w:val="181818"/>
          <w:sz w:val="48"/>
        </w:rPr>
        <w:t>Pathways and containment</w:t>
      </w:r>
    </w:p>
    <w:p>
      <w:pPr>
        <w:keepNext w:val="0"/>
        <w:spacing w:before="0" w:after="240" w:line="269" w:lineRule="auto"/>
      </w:pPr>
      <w:r>
        <w:rPr>
          <w:rFonts w:ascii="Arial" w:hAnsi="Arial"/>
          <w:b w:val="0"/>
          <w:color w:val="646464"/>
          <w:sz w:val="17"/>
        </w:rPr>
        <w:t>GHT-SVC-002   •   Revision 1.0   •   06 September 2026   •   1 / 3</w:t>
      </w:r>
    </w:p>
    <w:p>
      <w:pPr>
        <w:keepNext w:val="0"/>
        <w:spacing w:before="0" w:after="180" w:line="269" w:lineRule="auto"/>
      </w:pPr>
      <w:r>
        <w:rPr>
          <w:rFonts w:ascii="Arial" w:hAnsi="Arial"/>
          <w:b w:val="0"/>
          <w:color w:val="181818"/>
          <w:sz w:val="22"/>
        </w:rPr>
        <w:t>Trays, conduit, sleeves, raceway, and supports carry communications cable while accounting for fill, bend radius, separation, firestopping, and access.</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coordinated route plan with the pathway type, capacity, penetrations, responsibilities, and closeout photos recorded by segment.</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A pathway may be tray, basket, conduit, sleeves, raceway, J-hooks, underfloor space or a coordinated combination. Containment is selected for cable quantity, media, environment, accessibility and architectural conditions.</w:t>
      </w:r>
    </w:p>
    <w:p>
      <w:pPr>
        <w:keepNext w:val="0"/>
        <w:spacing w:before="0" w:after="120" w:line="269" w:lineRule="auto"/>
      </w:pPr>
      <w:r>
        <w:rPr>
          <w:rFonts w:ascii="Arial" w:hAnsi="Arial"/>
          <w:b w:val="0"/>
          <w:color w:val="181818"/>
          <w:sz w:val="20"/>
        </w:rPr>
        <w:t>Pathway design is also a construction-coordination task. Penetrations, fire-resistance boundaries, structural attachments, ceiling access and trade ownership must be resolved before installation.</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Origin</w:t>
            </w:r>
          </w:p>
        </w:tc>
        <w:tc>
          <w:tcPr>
            <w:tcW w:type="dxa" w:w="7200"/>
            <w:shd w:fill="F4F1E9"/>
          </w:tcPr>
          <w:p>
            <w:pPr>
              <w:spacing w:before="100" w:after="100"/>
            </w:pPr>
            <w:r>
              <w:rPr>
                <w:rFonts w:ascii="Arial" w:hAnsi="Arial"/>
                <w:sz w:val="18"/>
              </w:rPr>
              <w:t>Telecom room, entrance facility or equipment zone</w:t>
            </w:r>
          </w:p>
        </w:tc>
      </w:tr>
      <w:tr>
        <w:tc>
          <w:tcPr>
            <w:tcW w:type="dxa" w:w="2160"/>
            <w:shd w:fill="FFFFFF"/>
          </w:tcPr>
          <w:p>
            <w:pPr>
              <w:spacing w:before="100" w:after="100"/>
            </w:pPr>
            <w:r>
              <w:rPr>
                <w:rFonts w:ascii="Arial" w:hAnsi="Arial"/>
                <w:b/>
                <w:sz w:val="18"/>
              </w:rPr>
              <w:t>02  Primary pathway</w:t>
            </w:r>
          </w:p>
        </w:tc>
        <w:tc>
          <w:tcPr>
            <w:tcW w:type="dxa" w:w="7200"/>
            <w:shd w:fill="FFFFFF"/>
          </w:tcPr>
          <w:p>
            <w:pPr>
              <w:spacing w:before="100" w:after="100"/>
            </w:pPr>
            <w:r>
              <w:rPr>
                <w:rFonts w:ascii="Arial" w:hAnsi="Arial"/>
                <w:sz w:val="18"/>
              </w:rPr>
              <w:t>Tray, conduit or route carrying the main cable group</w:t>
            </w:r>
          </w:p>
        </w:tc>
      </w:tr>
      <w:tr>
        <w:tc>
          <w:tcPr>
            <w:tcW w:type="dxa" w:w="2160"/>
            <w:shd w:fill="F4F1E9"/>
          </w:tcPr>
          <w:p>
            <w:pPr>
              <w:spacing w:before="100" w:after="100"/>
            </w:pPr>
            <w:r>
              <w:rPr>
                <w:rFonts w:ascii="Arial" w:hAnsi="Arial"/>
                <w:b/>
                <w:sz w:val="18"/>
              </w:rPr>
              <w:t>03  Transition</w:t>
            </w:r>
          </w:p>
        </w:tc>
        <w:tc>
          <w:tcPr>
            <w:tcW w:type="dxa" w:w="7200"/>
            <w:shd w:fill="F4F1E9"/>
          </w:tcPr>
          <w:p>
            <w:pPr>
              <w:spacing w:before="100" w:after="100"/>
            </w:pPr>
            <w:r>
              <w:rPr>
                <w:rFonts w:ascii="Arial" w:hAnsi="Arial"/>
                <w:sz w:val="18"/>
              </w:rPr>
              <w:t>Sleeve, pull point, drop-out or change in pathway method</w:t>
            </w:r>
          </w:p>
        </w:tc>
      </w:tr>
      <w:tr>
        <w:tc>
          <w:tcPr>
            <w:tcW w:type="dxa" w:w="2160"/>
            <w:shd w:fill="FFFFFF"/>
          </w:tcPr>
          <w:p>
            <w:pPr>
              <w:spacing w:before="100" w:after="100"/>
            </w:pPr>
            <w:r>
              <w:rPr>
                <w:rFonts w:ascii="Arial" w:hAnsi="Arial"/>
                <w:b/>
                <w:sz w:val="18"/>
              </w:rPr>
              <w:t>04  Destination support</w:t>
            </w:r>
          </w:p>
        </w:tc>
        <w:tc>
          <w:tcPr>
            <w:tcW w:type="dxa" w:w="7200"/>
            <w:shd w:fill="FFFFFF"/>
          </w:tcPr>
          <w:p>
            <w:pPr>
              <w:spacing w:before="100" w:after="100"/>
            </w:pPr>
            <w:r>
              <w:rPr>
                <w:rFonts w:ascii="Arial" w:hAnsi="Arial"/>
                <w:sz w:val="18"/>
              </w:rPr>
              <w:t>Final protected route to the outlet, device or enclosure</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Ceilings are crowded or access is limited</w:t>
      </w:r>
    </w:p>
    <w:p>
      <w:pPr>
        <w:keepNext w:val="0"/>
        <w:spacing w:before="0" w:after="100" w:line="269" w:lineRule="auto"/>
        <w:ind w:left="187" w:hanging="187"/>
      </w:pPr>
      <w:r>
        <w:rPr>
          <w:rFonts w:ascii="Arial" w:hAnsi="Arial"/>
          <w:b w:val="0"/>
          <w:color w:val="181818"/>
          <w:sz w:val="20"/>
        </w:rPr>
        <w:t>•  Existing supports are full, damaged or shared improperly</w:t>
      </w:r>
    </w:p>
    <w:p>
      <w:pPr>
        <w:keepNext w:val="0"/>
        <w:spacing w:before="0" w:after="100" w:line="269" w:lineRule="auto"/>
        <w:ind w:left="187" w:hanging="187"/>
      </w:pPr>
      <w:r>
        <w:rPr>
          <w:rFonts w:ascii="Arial" w:hAnsi="Arial"/>
          <w:b w:val="0"/>
          <w:color w:val="181818"/>
          <w:sz w:val="20"/>
        </w:rPr>
        <w:t>•  A renovation crosses rated walls or occupied areas</w:t>
      </w:r>
    </w:p>
    <w:p>
      <w:pPr>
        <w:keepNext w:val="0"/>
        <w:spacing w:before="0" w:after="100" w:line="269" w:lineRule="auto"/>
        <w:ind w:left="187" w:hanging="187"/>
      </w:pPr>
      <w:r>
        <w:rPr>
          <w:rFonts w:ascii="Arial" w:hAnsi="Arial"/>
          <w:b w:val="0"/>
          <w:color w:val="181818"/>
          <w:sz w:val="20"/>
        </w:rPr>
        <w:t>•  Future phases need reserved route capacity</w:t>
      </w:r>
    </w:p>
    <w:p>
      <w:r>
        <w:br w:type="page"/>
      </w:r>
    </w:p>
    <w:p>
      <w:pPr>
        <w:keepNext/>
        <w:spacing w:before="1200" w:after="160" w:line="269" w:lineRule="auto"/>
      </w:pPr>
      <w:r>
        <w:rPr>
          <w:rFonts w:ascii="Arial" w:hAnsi="Arial"/>
          <w:b/>
          <w:color w:val="9B792B"/>
          <w:sz w:val="18"/>
        </w:rPr>
        <w:t>GHT-SVC-002 / PATHWAYS AND CONTAINMENT</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Route survey</w:t>
      </w:r>
    </w:p>
    <w:p>
      <w:pPr>
        <w:keepNext w:val="0"/>
        <w:spacing w:before="0" w:after="80" w:line="269" w:lineRule="auto"/>
      </w:pPr>
      <w:r>
        <w:rPr>
          <w:rFonts w:ascii="Arial" w:hAnsi="Arial"/>
          <w:b w:val="0"/>
          <w:color w:val="181818"/>
          <w:sz w:val="20"/>
        </w:rPr>
        <w:t>Trace origin, destination, obstacles, ratings, access and existing pathway condition.</w:t>
      </w:r>
    </w:p>
    <w:p>
      <w:pPr>
        <w:keepNext w:val="0"/>
        <w:spacing w:before="0" w:after="140" w:line="269" w:lineRule="auto"/>
      </w:pPr>
      <w:r>
        <w:rPr>
          <w:rFonts w:ascii="Arial" w:hAnsi="Arial"/>
          <w:b/>
          <w:color w:val="181818"/>
          <w:sz w:val="18"/>
        </w:rPr>
        <w:t>Acceptance evidence: Annotated route plan and obstruction photos</w:t>
      </w:r>
    </w:p>
    <w:p>
      <w:pPr>
        <w:keepNext/>
        <w:spacing w:before="200" w:after="120" w:line="269" w:lineRule="auto"/>
      </w:pPr>
      <w:r>
        <w:rPr>
          <w:rFonts w:ascii="Arial" w:hAnsi="Arial"/>
          <w:b/>
          <w:color w:val="9B792B"/>
          <w:sz w:val="24"/>
        </w:rPr>
        <w:t>02  Capacity design</w:t>
      </w:r>
    </w:p>
    <w:p>
      <w:pPr>
        <w:keepNext w:val="0"/>
        <w:spacing w:before="0" w:after="80" w:line="269" w:lineRule="auto"/>
      </w:pPr>
      <w:r>
        <w:rPr>
          <w:rFonts w:ascii="Arial" w:hAnsi="Arial"/>
          <w:b w:val="0"/>
          <w:color w:val="181818"/>
          <w:sz w:val="20"/>
        </w:rPr>
        <w:t>Estimate media count, size, bend needs, pulling access and growth allowance by segment.</w:t>
      </w:r>
    </w:p>
    <w:p>
      <w:pPr>
        <w:keepNext w:val="0"/>
        <w:spacing w:before="0" w:after="140" w:line="269" w:lineRule="auto"/>
      </w:pPr>
      <w:r>
        <w:rPr>
          <w:rFonts w:ascii="Arial" w:hAnsi="Arial"/>
          <w:b/>
          <w:color w:val="181818"/>
          <w:sz w:val="18"/>
        </w:rPr>
        <w:t>Acceptance evidence: Segment schedule with pathway type and capacity basis</w:t>
      </w:r>
    </w:p>
    <w:p>
      <w:pPr>
        <w:keepNext/>
        <w:spacing w:before="200" w:after="120" w:line="269" w:lineRule="auto"/>
      </w:pPr>
      <w:r>
        <w:rPr>
          <w:rFonts w:ascii="Arial" w:hAnsi="Arial"/>
          <w:b/>
          <w:color w:val="9B792B"/>
          <w:sz w:val="24"/>
        </w:rPr>
        <w:t>03  Trade coordination</w:t>
      </w:r>
    </w:p>
    <w:p>
      <w:pPr>
        <w:keepNext w:val="0"/>
        <w:spacing w:before="0" w:after="80" w:line="269" w:lineRule="auto"/>
      </w:pPr>
      <w:r>
        <w:rPr>
          <w:rFonts w:ascii="Arial" w:hAnsi="Arial"/>
          <w:b w:val="0"/>
          <w:color w:val="181818"/>
          <w:sz w:val="20"/>
        </w:rPr>
        <w:t>Resolve attachment, penetration, firestop, lift, shutdown and restoration responsibilities.</w:t>
      </w:r>
    </w:p>
    <w:p>
      <w:pPr>
        <w:keepNext w:val="0"/>
        <w:spacing w:before="0" w:after="140" w:line="269" w:lineRule="auto"/>
      </w:pPr>
      <w:r>
        <w:rPr>
          <w:rFonts w:ascii="Arial" w:hAnsi="Arial"/>
          <w:b/>
          <w:color w:val="181818"/>
          <w:sz w:val="18"/>
        </w:rPr>
        <w:t>Acceptance evidence: Coordination notes and responsibility matrix</w:t>
      </w:r>
    </w:p>
    <w:p>
      <w:pPr>
        <w:keepNext/>
        <w:spacing w:before="200" w:after="120" w:line="269" w:lineRule="auto"/>
      </w:pPr>
      <w:r>
        <w:rPr>
          <w:rFonts w:ascii="Arial" w:hAnsi="Arial"/>
          <w:b/>
          <w:color w:val="9B792B"/>
          <w:sz w:val="24"/>
        </w:rPr>
        <w:t>04  Install and inspect</w:t>
      </w:r>
    </w:p>
    <w:p>
      <w:pPr>
        <w:keepNext w:val="0"/>
        <w:spacing w:before="0" w:after="80" w:line="269" w:lineRule="auto"/>
      </w:pPr>
      <w:r>
        <w:rPr>
          <w:rFonts w:ascii="Arial" w:hAnsi="Arial"/>
          <w:b w:val="0"/>
          <w:color w:val="181818"/>
          <w:sz w:val="20"/>
        </w:rPr>
        <w:t>Verify support spacing, transitions, protection, identification and restored barriers.</w:t>
      </w:r>
    </w:p>
    <w:p>
      <w:pPr>
        <w:keepNext w:val="0"/>
        <w:spacing w:before="0" w:after="140" w:line="269" w:lineRule="auto"/>
      </w:pPr>
      <w:r>
        <w:rPr>
          <w:rFonts w:ascii="Arial" w:hAnsi="Arial"/>
          <w:b/>
          <w:color w:val="181818"/>
          <w:sz w:val="18"/>
        </w:rPr>
        <w:t>Acceptance evidence: Inspection record, route photos and updated as-built</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Annotated route plan</w:t>
      </w:r>
    </w:p>
    <w:p>
      <w:pPr>
        <w:keepNext w:val="0"/>
        <w:spacing w:before="0" w:after="100" w:line="269" w:lineRule="auto"/>
        <w:ind w:left="187" w:hanging="187"/>
      </w:pPr>
      <w:r>
        <w:rPr>
          <w:rFonts w:ascii="Arial" w:hAnsi="Arial"/>
          <w:b w:val="0"/>
          <w:color w:val="181818"/>
          <w:sz w:val="20"/>
        </w:rPr>
        <w:t>•  Pathway segment and penetration schedule</w:t>
      </w:r>
    </w:p>
    <w:p>
      <w:pPr>
        <w:keepNext w:val="0"/>
        <w:spacing w:before="0" w:after="100" w:line="269" w:lineRule="auto"/>
        <w:ind w:left="187" w:hanging="187"/>
      </w:pPr>
      <w:r>
        <w:rPr>
          <w:rFonts w:ascii="Arial" w:hAnsi="Arial"/>
          <w:b w:val="0"/>
          <w:color w:val="181818"/>
          <w:sz w:val="20"/>
        </w:rPr>
        <w:t>•  Coordination/responsibility notes</w:t>
      </w:r>
    </w:p>
    <w:p>
      <w:pPr>
        <w:keepNext w:val="0"/>
        <w:spacing w:before="0" w:after="100" w:line="269" w:lineRule="auto"/>
        <w:ind w:left="187" w:hanging="187"/>
      </w:pPr>
      <w:r>
        <w:rPr>
          <w:rFonts w:ascii="Arial" w:hAnsi="Arial"/>
          <w:b w:val="0"/>
          <w:color w:val="181818"/>
          <w:sz w:val="20"/>
        </w:rPr>
        <w:t>•  Installation inspection record</w:t>
      </w:r>
    </w:p>
    <w:p>
      <w:pPr>
        <w:keepNext w:val="0"/>
        <w:spacing w:before="0" w:after="100" w:line="269" w:lineRule="auto"/>
        <w:ind w:left="187" w:hanging="187"/>
      </w:pPr>
      <w:r>
        <w:rPr>
          <w:rFonts w:ascii="Arial" w:hAnsi="Arial"/>
          <w:b w:val="0"/>
          <w:color w:val="181818"/>
          <w:sz w:val="20"/>
        </w:rPr>
        <w:t>•  Closeout photos and as-built route</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GHT-SVC-002 / PATHWAYS AND CONTAINMENT</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Scaled route and ceiling information</w:t>
      </w:r>
    </w:p>
    <w:p>
      <w:pPr>
        <w:keepNext w:val="0"/>
        <w:spacing w:before="0" w:after="100" w:line="269" w:lineRule="auto"/>
        <w:ind w:left="187" w:hanging="187"/>
      </w:pPr>
      <w:r>
        <w:rPr>
          <w:rFonts w:ascii="Arial" w:hAnsi="Arial"/>
          <w:b w:val="0"/>
          <w:color w:val="181818"/>
          <w:sz w:val="20"/>
        </w:rPr>
        <w:t>•  Cable types, counts and outside diameters</w:t>
      </w:r>
    </w:p>
    <w:p>
      <w:pPr>
        <w:keepNext w:val="0"/>
        <w:spacing w:before="0" w:after="100" w:line="269" w:lineRule="auto"/>
        <w:ind w:left="187" w:hanging="187"/>
      </w:pPr>
      <w:r>
        <w:rPr>
          <w:rFonts w:ascii="Arial" w:hAnsi="Arial"/>
          <w:b w:val="0"/>
          <w:color w:val="181818"/>
          <w:sz w:val="20"/>
        </w:rPr>
        <w:t>•  Fire-rated and security boundaries</w:t>
      </w:r>
    </w:p>
    <w:p>
      <w:pPr>
        <w:keepNext w:val="0"/>
        <w:spacing w:before="0" w:after="100" w:line="269" w:lineRule="auto"/>
        <w:ind w:left="187" w:hanging="187"/>
      </w:pPr>
      <w:r>
        <w:rPr>
          <w:rFonts w:ascii="Arial" w:hAnsi="Arial"/>
          <w:b w:val="0"/>
          <w:color w:val="181818"/>
          <w:sz w:val="20"/>
        </w:rPr>
        <w:t>•  Structural attachment and trade constraints</w:t>
      </w:r>
    </w:p>
    <w:p>
      <w:pPr>
        <w:keepNext w:val="0"/>
        <w:spacing w:before="0" w:after="100" w:line="269" w:lineRule="auto"/>
        <w:ind w:left="187" w:hanging="187"/>
      </w:pPr>
      <w:r>
        <w:rPr>
          <w:rFonts w:ascii="Arial" w:hAnsi="Arial"/>
          <w:b w:val="0"/>
          <w:color w:val="181818"/>
          <w:sz w:val="20"/>
        </w:rPr>
        <w:t>•  Known future phases and growth allowance</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Pathway capacity and cable handling limits</w:t>
      </w:r>
    </w:p>
    <w:p>
      <w:pPr>
        <w:keepNext w:val="0"/>
        <w:spacing w:before="0" w:after="100" w:line="269" w:lineRule="auto"/>
        <w:ind w:left="187" w:hanging="187"/>
      </w:pPr>
      <w:r>
        <w:rPr>
          <w:rFonts w:ascii="Arial" w:hAnsi="Arial"/>
          <w:b w:val="0"/>
          <w:color w:val="181818"/>
          <w:sz w:val="20"/>
        </w:rPr>
        <w:t>•  Fire-resistance and penetration restoration</w:t>
      </w:r>
    </w:p>
    <w:p>
      <w:pPr>
        <w:keepNext w:val="0"/>
        <w:spacing w:before="0" w:after="100" w:line="269" w:lineRule="auto"/>
        <w:ind w:left="187" w:hanging="187"/>
      </w:pPr>
      <w:r>
        <w:rPr>
          <w:rFonts w:ascii="Arial" w:hAnsi="Arial"/>
          <w:b w:val="0"/>
          <w:color w:val="181818"/>
          <w:sz w:val="20"/>
        </w:rPr>
        <w:t>•  Structural attachment and seismic requirements where applicable</w:t>
      </w:r>
    </w:p>
    <w:p>
      <w:pPr>
        <w:keepNext w:val="0"/>
        <w:spacing w:before="0" w:after="100" w:line="269" w:lineRule="auto"/>
        <w:ind w:left="187" w:hanging="187"/>
      </w:pPr>
      <w:r>
        <w:rPr>
          <w:rFonts w:ascii="Arial" w:hAnsi="Arial"/>
          <w:b w:val="0"/>
          <w:color w:val="181818"/>
          <w:sz w:val="20"/>
        </w:rPr>
        <w:t>•  Shared-ceiling congestion and safe access</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Telecommunications Industry Association — TIA-569: Telecommunications Pathways and Spaces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Telecommunications Industry Association — TR-42 Telecommunications Cabling Systems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BICSI — Telecommunications Distribution Methods Manual</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tiaonline.org/standard/tia-569/" TargetMode="External"/><Relationship Id="rId13" Type="http://schemas.openxmlformats.org/officeDocument/2006/relationships/hyperlink" Target="https://tiaonline.org/standards/tr-42/" TargetMode="External"/><Relationship Id="rId14" Type="http://schemas.openxmlformats.org/officeDocument/2006/relationships/hyperlink" Target="https://shop.bicsi.org/technical-manuals/distribution-design" TargetMode="External"/><Relationship Id="rId15" Type="http://schemas.openxmlformats.org/officeDocument/2006/relationships/hyperlink" Target="https://ght.network/services/physical-infrastructure/pathways-contain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Pathways and containment — Service specification</dc:title>
  <dc:subject>Trays, conduit, sleeves, raceway, and supports carry communications cable while accounting for fill, bend radius, separation, firestopping, and access.</dc:subject>
  <dc:creator>Glass House Technologies</dc:creator>
  <cp:keywords>Physical infrastructure,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