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OPERATIONAL SYSTEMS</w:t>
      </w:r>
    </w:p>
    <w:p>
      <w:pPr>
        <w:keepNext/>
        <w:spacing w:before="0" w:after="180" w:line="269" w:lineRule="auto"/>
      </w:pPr>
      <w:r>
        <w:rPr>
          <w:rFonts w:ascii="Arial" w:hAnsi="Arial"/>
          <w:b/>
          <w:color w:val="181818"/>
          <w:sz w:val="48"/>
        </w:rPr>
        <w:t>Point-of-sale, ordering, and queue systems</w:t>
      </w:r>
    </w:p>
    <w:p>
      <w:pPr>
        <w:keepNext w:val="0"/>
        <w:spacing w:before="0" w:after="240" w:line="269" w:lineRule="auto"/>
      </w:pPr>
      <w:r>
        <w:rPr>
          <w:rFonts w:ascii="Arial" w:hAnsi="Arial"/>
          <w:b w:val="0"/>
          <w:color w:val="646464"/>
          <w:sz w:val="17"/>
        </w:rPr>
        <w:t>GHT-SVC-027   •   Revision 1.0   •   06 September 2026   •   1 / 3</w:t>
      </w:r>
    </w:p>
    <w:p>
      <w:pPr>
        <w:keepNext w:val="0"/>
        <w:spacing w:before="0" w:after="180" w:line="269" w:lineRule="auto"/>
      </w:pPr>
      <w:r>
        <w:rPr>
          <w:rFonts w:ascii="Arial" w:hAnsi="Arial"/>
          <w:b w:val="0"/>
          <w:color w:val="181818"/>
          <w:sz w:val="22"/>
        </w:rPr>
        <w:t>Terminals, payment devices, printers, kitchen or service displays, accounts, software, segmented networks, internet, local services, power, vendor support, and fallback procedures, connected end to end.</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 tested order-to-fulfillment path with labeled endpoints, recorded dependencies, staged cutover, rollback readiness, payment boundaries, and operator fallback.</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The workflow may span attended or self-service ordering, card-present payment, receipt and label printing, kitchen or production routing, pickup displays, drive-through, inventory, loyalty, online aggregators, tax, identity, and reporting. Device count alone does not reveal these dependencies.</w:t>
      </w:r>
    </w:p>
    <w:p>
      <w:pPr>
        <w:keepNext w:val="0"/>
        <w:spacing w:before="0" w:after="120" w:line="269" w:lineRule="auto"/>
      </w:pPr>
      <w:r>
        <w:rPr>
          <w:rFonts w:ascii="Arial" w:hAnsi="Arial"/>
          <w:b w:val="0"/>
          <w:color w:val="181818"/>
          <w:sz w:val="20"/>
        </w:rPr>
        <w:t>Payment scope and compliance are owned by the merchant and its payment partners. Network segmentation can help define boundaries but must be designed, validated, maintained, and reviewed within the organization’s PCI DSS program.</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Order</w:t>
            </w:r>
          </w:p>
        </w:tc>
        <w:tc>
          <w:tcPr>
            <w:tcW w:type="dxa" w:w="7200"/>
            <w:shd w:fill="F4F1E9"/>
          </w:tcPr>
          <w:p>
            <w:pPr>
              <w:spacing w:before="100" w:after="100"/>
            </w:pPr>
            <w:r>
              <w:rPr>
                <w:rFonts w:ascii="Arial" w:hAnsi="Arial"/>
                <w:sz w:val="18"/>
              </w:rPr>
              <w:t>Terminal, kiosk, web, mobile, service desk, menu or queue input</w:t>
            </w:r>
          </w:p>
        </w:tc>
      </w:tr>
      <w:tr>
        <w:tc>
          <w:tcPr>
            <w:tcW w:type="dxa" w:w="2160"/>
            <w:shd w:fill="FFFFFF"/>
          </w:tcPr>
          <w:p>
            <w:pPr>
              <w:spacing w:before="100" w:after="100"/>
            </w:pPr>
            <w:r>
              <w:rPr>
                <w:rFonts w:ascii="Arial" w:hAnsi="Arial"/>
                <w:b/>
                <w:sz w:val="18"/>
              </w:rPr>
              <w:t>02  Pay and authorize</w:t>
            </w:r>
          </w:p>
        </w:tc>
        <w:tc>
          <w:tcPr>
            <w:tcW w:type="dxa" w:w="7200"/>
            <w:shd w:fill="FFFFFF"/>
          </w:tcPr>
          <w:p>
            <w:pPr>
              <w:spacing w:before="100" w:after="100"/>
            </w:pPr>
            <w:r>
              <w:rPr>
                <w:rFonts w:ascii="Arial" w:hAnsi="Arial"/>
                <w:sz w:val="18"/>
              </w:rPr>
              <w:t>Payment device, processor path, identity, role, protected data boundary</w:t>
            </w:r>
          </w:p>
        </w:tc>
      </w:tr>
      <w:tr>
        <w:tc>
          <w:tcPr>
            <w:tcW w:type="dxa" w:w="2160"/>
            <w:shd w:fill="F4F1E9"/>
          </w:tcPr>
          <w:p>
            <w:pPr>
              <w:spacing w:before="100" w:after="100"/>
            </w:pPr>
            <w:r>
              <w:rPr>
                <w:rFonts w:ascii="Arial" w:hAnsi="Arial"/>
                <w:b/>
                <w:sz w:val="18"/>
              </w:rPr>
              <w:t>03  Route and fulfill</w:t>
            </w:r>
          </w:p>
        </w:tc>
        <w:tc>
          <w:tcPr>
            <w:tcW w:type="dxa" w:w="7200"/>
            <w:shd w:fill="F4F1E9"/>
          </w:tcPr>
          <w:p>
            <w:pPr>
              <w:spacing w:before="100" w:after="100"/>
            </w:pPr>
            <w:r>
              <w:rPr>
                <w:rFonts w:ascii="Arial" w:hAnsi="Arial"/>
                <w:sz w:val="18"/>
              </w:rPr>
              <w:t>Printer, kitchen display, workstation, pickup display, inventory or production</w:t>
            </w:r>
          </w:p>
        </w:tc>
      </w:tr>
      <w:tr>
        <w:tc>
          <w:tcPr>
            <w:tcW w:type="dxa" w:w="2160"/>
            <w:shd w:fill="FFFFFF"/>
          </w:tcPr>
          <w:p>
            <w:pPr>
              <w:spacing w:before="100" w:after="100"/>
            </w:pPr>
            <w:r>
              <w:rPr>
                <w:rFonts w:ascii="Arial" w:hAnsi="Arial"/>
                <w:b/>
                <w:sz w:val="18"/>
              </w:rPr>
              <w:t>04  Operate</w:t>
            </w:r>
          </w:p>
        </w:tc>
        <w:tc>
          <w:tcPr>
            <w:tcW w:type="dxa" w:w="7200"/>
            <w:shd w:fill="FFFFFF"/>
          </w:tcPr>
          <w:p>
            <w:pPr>
              <w:spacing w:before="100" w:after="100"/>
            </w:pPr>
            <w:r>
              <w:rPr>
                <w:rFonts w:ascii="Arial" w:hAnsi="Arial"/>
                <w:sz w:val="18"/>
              </w:rPr>
              <w:t>Network, power, internet, local service, monitoring, support, fallback and reporting</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Intermittent terminals, printers, kitchen displays, or payment devices stop service</w:t>
      </w:r>
    </w:p>
    <w:p>
      <w:pPr>
        <w:keepNext w:val="0"/>
        <w:spacing w:before="0" w:after="100" w:line="269" w:lineRule="auto"/>
        <w:ind w:left="187" w:hanging="187"/>
      </w:pPr>
      <w:r>
        <w:rPr>
          <w:rFonts w:ascii="Arial" w:hAnsi="Arial"/>
          <w:b w:val="0"/>
          <w:color w:val="181818"/>
          <w:sz w:val="20"/>
        </w:rPr>
        <w:t>•  Guest, staff, payment, delivery, media, and operations traffic share an undocumented network</w:t>
      </w:r>
    </w:p>
    <w:p>
      <w:pPr>
        <w:keepNext w:val="0"/>
        <w:spacing w:before="0" w:after="100" w:line="269" w:lineRule="auto"/>
        <w:ind w:left="187" w:hanging="187"/>
      </w:pPr>
      <w:r>
        <w:rPr>
          <w:rFonts w:ascii="Arial" w:hAnsi="Arial"/>
          <w:b w:val="0"/>
          <w:color w:val="181818"/>
          <w:sz w:val="20"/>
        </w:rPr>
        <w:t>•  A platform conversion has no staged test, rollback, or after-hours cutover plan</w:t>
      </w:r>
    </w:p>
    <w:p>
      <w:pPr>
        <w:keepNext w:val="0"/>
        <w:spacing w:before="0" w:after="100" w:line="269" w:lineRule="auto"/>
        <w:ind w:left="187" w:hanging="187"/>
      </w:pPr>
      <w:r>
        <w:rPr>
          <w:rFonts w:ascii="Arial" w:hAnsi="Arial"/>
          <w:b w:val="0"/>
          <w:color w:val="181818"/>
          <w:sz w:val="20"/>
        </w:rPr>
        <w:t>•  Store openings rely on multiple vendors without a single dependency and responsibility map</w:t>
      </w:r>
    </w:p>
    <w:p>
      <w:r>
        <w:br w:type="page"/>
      </w:r>
    </w:p>
    <w:p>
      <w:pPr>
        <w:keepNext/>
        <w:spacing w:before="1200" w:after="160" w:line="269" w:lineRule="auto"/>
      </w:pPr>
      <w:r>
        <w:rPr>
          <w:rFonts w:ascii="Arial" w:hAnsi="Arial"/>
          <w:b/>
          <w:color w:val="9B792B"/>
          <w:sz w:val="18"/>
        </w:rPr>
        <w:t>GHT-SVC-027 / POINT-OF-SALE, ORDERING, AND QUEUE SYSTEMS</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Trace the transaction</w:t>
      </w:r>
    </w:p>
    <w:p>
      <w:pPr>
        <w:keepNext w:val="0"/>
        <w:spacing w:before="0" w:after="80" w:line="269" w:lineRule="auto"/>
      </w:pPr>
      <w:r>
        <w:rPr>
          <w:rFonts w:ascii="Arial" w:hAnsi="Arial"/>
          <w:b w:val="0"/>
          <w:color w:val="181818"/>
          <w:sz w:val="20"/>
        </w:rPr>
        <w:t>Follow representative orders through entry, payment, routing, production or picking, status, handoff, refund, close, and reporting; record every device, service, account, and vendor.</w:t>
      </w:r>
    </w:p>
    <w:p>
      <w:pPr>
        <w:keepNext w:val="0"/>
        <w:spacing w:before="0" w:after="140" w:line="269" w:lineRule="auto"/>
      </w:pPr>
      <w:r>
        <w:rPr>
          <w:rFonts w:ascii="Arial" w:hAnsi="Arial"/>
          <w:b/>
          <w:color w:val="181818"/>
          <w:sz w:val="18"/>
        </w:rPr>
        <w:t>Acceptance evidence: Transaction journey, device and dependency inventory, data-flow notes, failure history, and vendor responsibility map.</w:t>
      </w:r>
    </w:p>
    <w:p>
      <w:pPr>
        <w:keepNext/>
        <w:spacing w:before="200" w:after="120" w:line="269" w:lineRule="auto"/>
      </w:pPr>
      <w:r>
        <w:rPr>
          <w:rFonts w:ascii="Arial" w:hAnsi="Arial"/>
          <w:b/>
          <w:color w:val="9B792B"/>
          <w:sz w:val="24"/>
        </w:rPr>
        <w:t>02  Design boundaries and fallback</w:t>
      </w:r>
    </w:p>
    <w:p>
      <w:pPr>
        <w:keepNext w:val="0"/>
        <w:spacing w:before="0" w:after="80" w:line="269" w:lineRule="auto"/>
      </w:pPr>
      <w:r>
        <w:rPr>
          <w:rFonts w:ascii="Arial" w:hAnsi="Arial"/>
          <w:b w:val="0"/>
          <w:color w:val="181818"/>
          <w:sz w:val="20"/>
        </w:rPr>
        <w:t>Define network segments, ports and services, device placement, power, internet or local dependencies, user roles, offline behavior, support ownership, migration, and rollback.</w:t>
      </w:r>
    </w:p>
    <w:p>
      <w:pPr>
        <w:keepNext w:val="0"/>
        <w:spacing w:before="0" w:after="140" w:line="269" w:lineRule="auto"/>
      </w:pPr>
      <w:r>
        <w:rPr>
          <w:rFonts w:ascii="Arial" w:hAnsi="Arial"/>
          <w:b/>
          <w:color w:val="181818"/>
          <w:sz w:val="18"/>
        </w:rPr>
        <w:t>Acceptance evidence: Physical and logical design, payment-scope assumptions, lane schedule, fallback matrix, cutover plan, and responsibility chart.</w:t>
      </w:r>
    </w:p>
    <w:p>
      <w:pPr>
        <w:keepNext/>
        <w:spacing w:before="200" w:after="120" w:line="269" w:lineRule="auto"/>
      </w:pPr>
      <w:r>
        <w:rPr>
          <w:rFonts w:ascii="Arial" w:hAnsi="Arial"/>
          <w:b/>
          <w:color w:val="9B792B"/>
          <w:sz w:val="24"/>
        </w:rPr>
        <w:t>03  Stage and cut over</w:t>
      </w:r>
    </w:p>
    <w:p>
      <w:pPr>
        <w:keepNext w:val="0"/>
        <w:spacing w:before="0" w:after="80" w:line="269" w:lineRule="auto"/>
      </w:pPr>
      <w:r>
        <w:rPr>
          <w:rFonts w:ascii="Arial" w:hAnsi="Arial"/>
          <w:b w:val="0"/>
          <w:color w:val="181818"/>
          <w:sz w:val="20"/>
        </w:rPr>
        <w:t>Bench devices, enroll and update endpoints, label connections, validate vendor services, pilot representative transactions, back up configuration, and execute the approved window.</w:t>
      </w:r>
    </w:p>
    <w:p>
      <w:pPr>
        <w:keepNext w:val="0"/>
        <w:spacing w:before="0" w:after="140" w:line="269" w:lineRule="auto"/>
      </w:pPr>
      <w:r>
        <w:rPr>
          <w:rFonts w:ascii="Arial" w:hAnsi="Arial"/>
          <w:b/>
          <w:color w:val="181818"/>
          <w:sz w:val="18"/>
        </w:rPr>
        <w:t>Acceptance evidence: Staging checklist, labeled endpoints, configuration record, successful pilot transactions, change log, and rollback readiness.</w:t>
      </w:r>
    </w:p>
    <w:p>
      <w:pPr>
        <w:keepNext/>
        <w:spacing w:before="200" w:after="120" w:line="269" w:lineRule="auto"/>
      </w:pPr>
      <w:r>
        <w:rPr>
          <w:rFonts w:ascii="Arial" w:hAnsi="Arial"/>
          <w:b/>
          <w:color w:val="9B792B"/>
          <w:sz w:val="24"/>
        </w:rPr>
        <w:t>04  Prove the whole shift</w:t>
      </w:r>
    </w:p>
    <w:p>
      <w:pPr>
        <w:keepNext w:val="0"/>
        <w:spacing w:before="0" w:after="80" w:line="269" w:lineRule="auto"/>
      </w:pPr>
      <w:r>
        <w:rPr>
          <w:rFonts w:ascii="Arial" w:hAnsi="Arial"/>
          <w:b w:val="0"/>
          <w:color w:val="181818"/>
          <w:sz w:val="20"/>
        </w:rPr>
        <w:t>Test sale, payment, print, routing, status, refund or void as authorized, close, reporting, network separation, failover or offline process, recovery, and operator handoff.</w:t>
      </w:r>
    </w:p>
    <w:p>
      <w:pPr>
        <w:keepNext w:val="0"/>
        <w:spacing w:before="0" w:after="140" w:line="269" w:lineRule="auto"/>
      </w:pPr>
      <w:r>
        <w:rPr>
          <w:rFonts w:ascii="Arial" w:hAnsi="Arial"/>
          <w:b/>
          <w:color w:val="181818"/>
          <w:sz w:val="18"/>
        </w:rPr>
        <w:t>Acceptance evidence: Accepted transaction set without real card data, segmentation test record, device-state evidence, recovery results, and shift quick guide.</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Transaction and dependency map</w:t>
      </w:r>
    </w:p>
    <w:p>
      <w:pPr>
        <w:keepNext w:val="0"/>
        <w:spacing w:before="0" w:after="100" w:line="269" w:lineRule="auto"/>
        <w:ind w:left="187" w:hanging="187"/>
      </w:pPr>
      <w:r>
        <w:rPr>
          <w:rFonts w:ascii="Arial" w:hAnsi="Arial"/>
          <w:b w:val="0"/>
          <w:color w:val="181818"/>
          <w:sz w:val="20"/>
        </w:rPr>
        <w:t>•  Lane, endpoint, network, power, and integration design</w:t>
      </w:r>
    </w:p>
    <w:p>
      <w:pPr>
        <w:keepNext w:val="0"/>
        <w:spacing w:before="0" w:after="100" w:line="269" w:lineRule="auto"/>
        <w:ind w:left="187" w:hanging="187"/>
      </w:pPr>
      <w:r>
        <w:rPr>
          <w:rFonts w:ascii="Arial" w:hAnsi="Arial"/>
          <w:b w:val="0"/>
          <w:color w:val="181818"/>
          <w:sz w:val="20"/>
        </w:rPr>
        <w:t>•  Payment-scope assumptions and vendor responsibility matrix</w:t>
      </w:r>
    </w:p>
    <w:p>
      <w:pPr>
        <w:keepNext w:val="0"/>
        <w:spacing w:before="0" w:after="100" w:line="269" w:lineRule="auto"/>
        <w:ind w:left="187" w:hanging="187"/>
      </w:pPr>
      <w:r>
        <w:rPr>
          <w:rFonts w:ascii="Arial" w:hAnsi="Arial"/>
          <w:b w:val="0"/>
          <w:color w:val="181818"/>
          <w:sz w:val="20"/>
        </w:rPr>
        <w:t>•  Staging, cutover, rollback, transaction, separation, and recovery evidence</w:t>
      </w:r>
    </w:p>
    <w:p>
      <w:pPr>
        <w:keepNext w:val="0"/>
        <w:spacing w:before="0" w:after="100" w:line="269" w:lineRule="auto"/>
        <w:ind w:left="187" w:hanging="187"/>
      </w:pPr>
      <w:r>
        <w:rPr>
          <w:rFonts w:ascii="Arial" w:hAnsi="Arial"/>
          <w:b w:val="0"/>
          <w:color w:val="181818"/>
          <w:sz w:val="20"/>
        </w:rPr>
        <w:t>•  Labeled asset list, operator quick guide, and support escalation map</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GHT-SVC-027 / POINT-OF-SALE, ORDERING, AND QUEUE SYSTEMS</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Order types, payment methods, lane or station count, throughput, and operating hours</w:t>
      </w:r>
    </w:p>
    <w:p>
      <w:pPr>
        <w:keepNext w:val="0"/>
        <w:spacing w:before="0" w:after="100" w:line="269" w:lineRule="auto"/>
        <w:ind w:left="187" w:hanging="187"/>
      </w:pPr>
      <w:r>
        <w:rPr>
          <w:rFonts w:ascii="Arial" w:hAnsi="Arial"/>
          <w:b w:val="0"/>
          <w:color w:val="181818"/>
          <w:sz w:val="20"/>
        </w:rPr>
        <w:t>•  Device, printer, display, kitchen, pickup, inventory, loyalty, tax, and delivery integrations</w:t>
      </w:r>
    </w:p>
    <w:p>
      <w:pPr>
        <w:keepNext w:val="0"/>
        <w:spacing w:before="0" w:after="100" w:line="269" w:lineRule="auto"/>
        <w:ind w:left="187" w:hanging="187"/>
      </w:pPr>
      <w:r>
        <w:rPr>
          <w:rFonts w:ascii="Arial" w:hAnsi="Arial"/>
          <w:b w:val="0"/>
          <w:color w:val="181818"/>
          <w:sz w:val="20"/>
        </w:rPr>
        <w:t>•  Payment provider, PCI responsibilities, segmentation, remote access, and account ownership</w:t>
      </w:r>
    </w:p>
    <w:p>
      <w:pPr>
        <w:keepNext w:val="0"/>
        <w:spacing w:before="0" w:after="100" w:line="269" w:lineRule="auto"/>
        <w:ind w:left="187" w:hanging="187"/>
      </w:pPr>
      <w:r>
        <w:rPr>
          <w:rFonts w:ascii="Arial" w:hAnsi="Arial"/>
          <w:b w:val="0"/>
          <w:color w:val="181818"/>
          <w:sz w:val="20"/>
        </w:rPr>
        <w:t>•  Internet, local services, power, UPS, cabling, wireless, and environmental conditions</w:t>
      </w:r>
    </w:p>
    <w:p>
      <w:pPr>
        <w:keepNext w:val="0"/>
        <w:spacing w:before="0" w:after="100" w:line="269" w:lineRule="auto"/>
        <w:ind w:left="187" w:hanging="187"/>
      </w:pPr>
      <w:r>
        <w:rPr>
          <w:rFonts w:ascii="Arial" w:hAnsi="Arial"/>
          <w:b w:val="0"/>
          <w:color w:val="181818"/>
          <w:sz w:val="20"/>
        </w:rPr>
        <w:t>•  Opening or cutover window, training, fallback, rollback, vendor contacts, and acceptance transactions</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GHT does not determine PCI DSS compliance; the merchant, acquiring bank, payment brands, processors, and qualified assessors define applicable obligations</w:t>
      </w:r>
    </w:p>
    <w:p>
      <w:pPr>
        <w:keepNext w:val="0"/>
        <w:spacing w:before="0" w:after="100" w:line="269" w:lineRule="auto"/>
        <w:ind w:left="187" w:hanging="187"/>
      </w:pPr>
      <w:r>
        <w:rPr>
          <w:rFonts w:ascii="Arial" w:hAnsi="Arial"/>
          <w:b w:val="0"/>
          <w:color w:val="181818"/>
          <w:sz w:val="20"/>
        </w:rPr>
        <w:t>•  Offline payment, store-and-forward, failover, and refund behavior are platform- and provider-specific and carry financial risk</w:t>
      </w:r>
    </w:p>
    <w:p>
      <w:pPr>
        <w:keepNext w:val="0"/>
        <w:spacing w:before="0" w:after="100" w:line="269" w:lineRule="auto"/>
        <w:ind w:left="187" w:hanging="187"/>
      </w:pPr>
      <w:r>
        <w:rPr>
          <w:rFonts w:ascii="Arial" w:hAnsi="Arial"/>
          <w:b w:val="0"/>
          <w:color w:val="181818"/>
          <w:sz w:val="20"/>
        </w:rPr>
        <w:t>•  Electrical, mounting, food-area, drive-through, and accessibility work can require separate coordination</w:t>
      </w:r>
    </w:p>
    <w:p>
      <w:pPr>
        <w:keepNext w:val="0"/>
        <w:spacing w:before="0" w:after="100" w:line="269" w:lineRule="auto"/>
        <w:ind w:left="187" w:hanging="187"/>
      </w:pPr>
      <w:r>
        <w:rPr>
          <w:rFonts w:ascii="Arial" w:hAnsi="Arial"/>
          <w:b w:val="0"/>
          <w:color w:val="181818"/>
          <w:sz w:val="20"/>
        </w:rPr>
        <w:t>•  Vendor updates, certificates, accounts, licenses, and API changes can affect the transaction path after closeout</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PCI Security Standards Council — PCI Data Security Standard</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PCI Security Standards Council — Point-to-Point Encryption</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PCI Security Standards Council — Guidance for PCI DSS Scoping and Network Segmentation</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www.pcisecuritystandards.org/standards/pci-dss/" TargetMode="External"/><Relationship Id="rId13" Type="http://schemas.openxmlformats.org/officeDocument/2006/relationships/hyperlink" Target="https://www.pcisecuritystandards.org/standards/point-to-point-encryption-p2pe/" TargetMode="External"/><Relationship Id="rId14" Type="http://schemas.openxmlformats.org/officeDocument/2006/relationships/hyperlink" Target="https://www.pcisecuritystandards.org/documents/Guidance-PCI-DSS-Scoping-and-Segmentation_v1_1.pdf" TargetMode="External"/><Relationship Id="rId15" Type="http://schemas.openxmlformats.org/officeDocument/2006/relationships/hyperlink" Target="https://ght.network/services/operational-systems/pos-ordering-queu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Point-of-sale, ordering, and queue systems — Service specification</dc:title>
  <dc:subject>Terminals, payment devices, printers, kitchen or service displays, accounts, software, segmented networks, internet, local services, power, vendor support, and fallback procedures, connected end to end.</dc:subject>
  <dc:creator>Glass House Technologies</dc:creator>
  <cp:keywords>Operational systems,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