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NETWORKS AND WIRELESS</w:t>
      </w:r>
    </w:p>
    <w:p>
      <w:pPr>
        <w:keepNext/>
        <w:spacing w:before="0" w:after="180" w:line="269" w:lineRule="auto"/>
      </w:pPr>
      <w:r>
        <w:rPr>
          <w:rFonts w:ascii="Arial" w:hAnsi="Arial"/>
          <w:b/>
          <w:color w:val="181818"/>
          <w:sz w:val="48"/>
        </w:rPr>
        <w:t>Private 5G and CBRS</w:t>
      </w:r>
    </w:p>
    <w:p>
      <w:pPr>
        <w:keepNext w:val="0"/>
        <w:spacing w:before="0" w:after="240" w:line="269" w:lineRule="auto"/>
      </w:pPr>
      <w:r>
        <w:rPr>
          <w:rFonts w:ascii="Arial" w:hAnsi="Arial"/>
          <w:b w:val="0"/>
          <w:color w:val="646464"/>
          <w:sz w:val="17"/>
        </w:rPr>
        <w:t>GHT-SVC-016   •   Revision 1.0   •   06 September 2026   •   1 / 3</w:t>
      </w:r>
    </w:p>
    <w:p>
      <w:pPr>
        <w:keepNext w:val="0"/>
        <w:spacing w:before="0" w:after="180" w:line="269" w:lineRule="auto"/>
      </w:pPr>
      <w:r>
        <w:rPr>
          <w:rFonts w:ascii="Arial" w:hAnsi="Arial"/>
          <w:b w:val="0"/>
          <w:color w:val="181818"/>
          <w:sz w:val="22"/>
        </w:rPr>
        <w:t>Private LTE or 5G combines compatible devices, SIM or eSIM identities, radios, transport, and a mobile core; many US deployments use CBRS spectrum under FCC Part 96.</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measured pilot or production network with confirmed device and band compatibility, spectrum records, traffic paths, configuration, and support procedures.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private cellular network normally includes radio units, antennas, transport, a cellular core, subscriber identity management and integration to enterprise or operational networks. It is not simply a different kind of access point.</w:t>
      </w:r>
    </w:p>
    <w:p>
      <w:pPr>
        <w:keepNext w:val="0"/>
        <w:spacing w:before="0" w:after="120" w:line="269" w:lineRule="auto"/>
      </w:pPr>
      <w:r>
        <w:rPr>
          <w:rFonts w:ascii="Arial" w:hAnsi="Arial"/>
          <w:b w:val="0"/>
          <w:color w:val="181818"/>
          <w:sz w:val="20"/>
        </w:rPr>
        <w:t>CBRS uses a three-tier shared-spectrum model coordinated by a Spectrum Access System. Device registration, location, operating parameters and possible channel changes are part of normal operation and must be designed into monitoring and support.</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Subscriber device</w:t>
            </w:r>
          </w:p>
        </w:tc>
        <w:tc>
          <w:tcPr>
            <w:tcW w:type="dxa" w:w="7200"/>
            <w:shd w:fill="F4F1E9"/>
          </w:tcPr>
          <w:p>
            <w:pPr>
              <w:spacing w:before="100" w:after="100"/>
            </w:pPr>
            <w:r>
              <w:rPr>
                <w:rFonts w:ascii="Arial" w:hAnsi="Arial"/>
                <w:sz w:val="18"/>
              </w:rPr>
              <w:t>Band-compatible modem with provisioned SIM or eSIM identity</w:t>
            </w:r>
          </w:p>
        </w:tc>
      </w:tr>
      <w:tr>
        <w:tc>
          <w:tcPr>
            <w:tcW w:type="dxa" w:w="2160"/>
            <w:shd w:fill="FFFFFF"/>
          </w:tcPr>
          <w:p>
            <w:pPr>
              <w:spacing w:before="100" w:after="100"/>
            </w:pPr>
            <w:r>
              <w:rPr>
                <w:rFonts w:ascii="Arial" w:hAnsi="Arial"/>
                <w:b/>
                <w:sz w:val="18"/>
              </w:rPr>
              <w:t>02  Radio access</w:t>
            </w:r>
          </w:p>
        </w:tc>
        <w:tc>
          <w:tcPr>
            <w:tcW w:type="dxa" w:w="7200"/>
            <w:shd w:fill="FFFFFF"/>
          </w:tcPr>
          <w:p>
            <w:pPr>
              <w:spacing w:before="100" w:after="100"/>
            </w:pPr>
            <w:r>
              <w:rPr>
                <w:rFonts w:ascii="Arial" w:hAnsi="Arial"/>
                <w:sz w:val="18"/>
              </w:rPr>
              <w:t>CBSD/radio and antennas providing planned RF coverage</w:t>
            </w:r>
          </w:p>
        </w:tc>
      </w:tr>
      <w:tr>
        <w:tc>
          <w:tcPr>
            <w:tcW w:type="dxa" w:w="2160"/>
            <w:shd w:fill="F4F1E9"/>
          </w:tcPr>
          <w:p>
            <w:pPr>
              <w:spacing w:before="100" w:after="100"/>
            </w:pPr>
            <w:r>
              <w:rPr>
                <w:rFonts w:ascii="Arial" w:hAnsi="Arial"/>
                <w:b/>
                <w:sz w:val="18"/>
              </w:rPr>
              <w:t>03  Mobile core</w:t>
            </w:r>
          </w:p>
        </w:tc>
        <w:tc>
          <w:tcPr>
            <w:tcW w:type="dxa" w:w="7200"/>
            <w:shd w:fill="F4F1E9"/>
          </w:tcPr>
          <w:p>
            <w:pPr>
              <w:spacing w:before="100" w:after="100"/>
            </w:pPr>
            <w:r>
              <w:rPr>
                <w:rFonts w:ascii="Arial" w:hAnsi="Arial"/>
                <w:sz w:val="18"/>
              </w:rPr>
              <w:t>Authentication, sessions, mobility and traffic policy</w:t>
            </w:r>
          </w:p>
        </w:tc>
      </w:tr>
      <w:tr>
        <w:tc>
          <w:tcPr>
            <w:tcW w:type="dxa" w:w="2160"/>
            <w:shd w:fill="FFFFFF"/>
          </w:tcPr>
          <w:p>
            <w:pPr>
              <w:spacing w:before="100" w:after="100"/>
            </w:pPr>
            <w:r>
              <w:rPr>
                <w:rFonts w:ascii="Arial" w:hAnsi="Arial"/>
                <w:b/>
                <w:sz w:val="18"/>
              </w:rPr>
              <w:t>04  Enterprise boundary</w:t>
            </w:r>
          </w:p>
        </w:tc>
        <w:tc>
          <w:tcPr>
            <w:tcW w:type="dxa" w:w="7200"/>
            <w:shd w:fill="FFFFFF"/>
          </w:tcPr>
          <w:p>
            <w:pPr>
              <w:spacing w:before="100" w:after="100"/>
            </w:pPr>
            <w:r>
              <w:rPr>
                <w:rFonts w:ascii="Arial" w:hAnsi="Arial"/>
                <w:sz w:val="18"/>
              </w:rPr>
              <w:t>Controlled paths to applications, internet, IT or OT networks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Wide-area mobile devices outgrow existing Wi-Fi behavior</w:t>
      </w:r>
    </w:p>
    <w:p>
      <w:pPr>
        <w:keepNext w:val="0"/>
        <w:spacing w:before="0" w:after="100" w:line="269" w:lineRule="auto"/>
        <w:ind w:left="187" w:hanging="187"/>
      </w:pPr>
      <w:r>
        <w:rPr>
          <w:rFonts w:ascii="Arial" w:hAnsi="Arial"/>
          <w:b w:val="0"/>
          <w:color w:val="181818"/>
          <w:sz w:val="20"/>
        </w:rPr>
        <w:t>•  Deterministic identity and SIM/eSIM lifecycle are useful</w:t>
      </w:r>
    </w:p>
    <w:p>
      <w:pPr>
        <w:keepNext w:val="0"/>
        <w:spacing w:before="0" w:after="100" w:line="269" w:lineRule="auto"/>
        <w:ind w:left="187" w:hanging="187"/>
      </w:pPr>
      <w:r>
        <w:rPr>
          <w:rFonts w:ascii="Arial" w:hAnsi="Arial"/>
          <w:b w:val="0"/>
          <w:color w:val="181818"/>
          <w:sz w:val="20"/>
        </w:rPr>
        <w:t>•  Outdoor, yard or industrial coverage needs managed mobility</w:t>
      </w:r>
    </w:p>
    <w:p>
      <w:pPr>
        <w:keepNext w:val="0"/>
        <w:spacing w:before="0" w:after="100" w:line="269" w:lineRule="auto"/>
        <w:ind w:left="187" w:hanging="187"/>
      </w:pPr>
      <w:r>
        <w:rPr>
          <w:rFonts w:ascii="Arial" w:hAnsi="Arial"/>
          <w:b w:val="0"/>
          <w:color w:val="181818"/>
          <w:sz w:val="20"/>
        </w:rPr>
        <w:t>•  A neutral-host or carrier alternative is being evaluated</w:t>
      </w:r>
    </w:p>
    <w:p>
      <w:r>
        <w:br w:type="page"/>
      </w:r>
    </w:p>
    <w:p>
      <w:pPr>
        <w:keepNext/>
        <w:spacing w:before="1200" w:after="160" w:line="269" w:lineRule="auto"/>
      </w:pPr>
      <w:r>
        <w:rPr>
          <w:rFonts w:ascii="Arial" w:hAnsi="Arial"/>
          <w:b/>
          <w:color w:val="9B792B"/>
          <w:sz w:val="18"/>
        </w:rPr>
        <w:t>GHT-SVC-016 / PRIVATE 5G AND CBRS</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Use-case proof</w:t>
      </w:r>
    </w:p>
    <w:p>
      <w:pPr>
        <w:keepNext w:val="0"/>
        <w:spacing w:before="0" w:after="80" w:line="269" w:lineRule="auto"/>
      </w:pPr>
      <w:r>
        <w:rPr>
          <w:rFonts w:ascii="Arial" w:hAnsi="Arial"/>
          <w:b w:val="0"/>
          <w:color w:val="181818"/>
          <w:sz w:val="20"/>
        </w:rPr>
        <w:t>Define devices, mobility, traffic, latency, coverage, identity and operational consequence.</w:t>
      </w:r>
    </w:p>
    <w:p>
      <w:pPr>
        <w:keepNext w:val="0"/>
        <w:spacing w:before="0" w:after="140" w:line="269" w:lineRule="auto"/>
      </w:pPr>
      <w:r>
        <w:rPr>
          <w:rFonts w:ascii="Arial" w:hAnsi="Arial"/>
          <w:b/>
          <w:color w:val="181818"/>
          <w:sz w:val="18"/>
        </w:rPr>
        <w:t>Acceptance evidence: Use-case scorecard and device/band compatibility matrix</w:t>
      </w:r>
    </w:p>
    <w:p>
      <w:pPr>
        <w:keepNext/>
        <w:spacing w:before="200" w:after="120" w:line="269" w:lineRule="auto"/>
      </w:pPr>
      <w:r>
        <w:rPr>
          <w:rFonts w:ascii="Arial" w:hAnsi="Arial"/>
          <w:b/>
          <w:color w:val="9B792B"/>
          <w:sz w:val="24"/>
        </w:rPr>
        <w:t>02  RF/core architecture</w:t>
      </w:r>
    </w:p>
    <w:p>
      <w:pPr>
        <w:keepNext w:val="0"/>
        <w:spacing w:before="0" w:after="80" w:line="269" w:lineRule="auto"/>
      </w:pPr>
      <w:r>
        <w:rPr>
          <w:rFonts w:ascii="Arial" w:hAnsi="Arial"/>
          <w:b w:val="0"/>
          <w:color w:val="181818"/>
          <w:sz w:val="20"/>
        </w:rPr>
        <w:t>Design radios, antennas, transport, cellular core, subscriber identities and network boundaries.</w:t>
      </w:r>
    </w:p>
    <w:p>
      <w:pPr>
        <w:keepNext w:val="0"/>
        <w:spacing w:before="0" w:after="140" w:line="269" w:lineRule="auto"/>
      </w:pPr>
      <w:r>
        <w:rPr>
          <w:rFonts w:ascii="Arial" w:hAnsi="Arial"/>
          <w:b/>
          <w:color w:val="181818"/>
          <w:sz w:val="18"/>
        </w:rPr>
        <w:t>Acceptance evidence: RF prediction, logical architecture and data-flow map</w:t>
      </w:r>
    </w:p>
    <w:p>
      <w:pPr>
        <w:keepNext/>
        <w:spacing w:before="200" w:after="120" w:line="269" w:lineRule="auto"/>
      </w:pPr>
      <w:r>
        <w:rPr>
          <w:rFonts w:ascii="Arial" w:hAnsi="Arial"/>
          <w:b/>
          <w:color w:val="9B792B"/>
          <w:sz w:val="24"/>
        </w:rPr>
        <w:t>03  Spectrum and pilot</w:t>
      </w:r>
    </w:p>
    <w:p>
      <w:pPr>
        <w:keepNext w:val="0"/>
        <w:spacing w:before="0" w:after="80" w:line="269" w:lineRule="auto"/>
      </w:pPr>
      <w:r>
        <w:rPr>
          <w:rFonts w:ascii="Arial" w:hAnsi="Arial"/>
          <w:b w:val="0"/>
          <w:color w:val="181818"/>
          <w:sz w:val="20"/>
        </w:rPr>
        <w:t>Coordinate compliant devices and SAS operation, stage a limited area, and validate real clients.</w:t>
      </w:r>
    </w:p>
    <w:p>
      <w:pPr>
        <w:keepNext w:val="0"/>
        <w:spacing w:before="0" w:after="140" w:line="269" w:lineRule="auto"/>
      </w:pPr>
      <w:r>
        <w:rPr>
          <w:rFonts w:ascii="Arial" w:hAnsi="Arial"/>
          <w:b/>
          <w:color w:val="181818"/>
          <w:sz w:val="18"/>
        </w:rPr>
        <w:t>Acceptance evidence: Registration records, pilot log and measured coverage/service results</w:t>
      </w:r>
    </w:p>
    <w:p>
      <w:pPr>
        <w:keepNext/>
        <w:spacing w:before="200" w:after="120" w:line="269" w:lineRule="auto"/>
      </w:pPr>
      <w:r>
        <w:rPr>
          <w:rFonts w:ascii="Arial" w:hAnsi="Arial"/>
          <w:b/>
          <w:color w:val="9B792B"/>
          <w:sz w:val="24"/>
        </w:rPr>
        <w:t>04  Operational handoff</w:t>
      </w:r>
    </w:p>
    <w:p>
      <w:pPr>
        <w:keepNext w:val="0"/>
        <w:spacing w:before="0" w:after="80" w:line="269" w:lineRule="auto"/>
      </w:pPr>
      <w:r>
        <w:rPr>
          <w:rFonts w:ascii="Arial" w:hAnsi="Arial"/>
          <w:b w:val="0"/>
          <w:color w:val="181818"/>
          <w:sz w:val="20"/>
        </w:rPr>
        <w:t>Finalize monitoring, identity lifecycle, channel-event response, support and change ownership.</w:t>
      </w:r>
    </w:p>
    <w:p>
      <w:pPr>
        <w:keepNext w:val="0"/>
        <w:spacing w:before="0" w:after="140" w:line="269" w:lineRule="auto"/>
      </w:pPr>
      <w:r>
        <w:rPr>
          <w:rFonts w:ascii="Arial" w:hAnsi="Arial"/>
          <w:b/>
          <w:color w:val="181818"/>
          <w:sz w:val="18"/>
        </w:rPr>
        <w:t>Acceptance evidence: Runbook, inventory, configuration backup and acceptance report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Use-case and device-compatibility matrix</w:t>
      </w:r>
    </w:p>
    <w:p>
      <w:pPr>
        <w:keepNext w:val="0"/>
        <w:spacing w:before="0" w:after="100" w:line="269" w:lineRule="auto"/>
        <w:ind w:left="187" w:hanging="187"/>
      </w:pPr>
      <w:r>
        <w:rPr>
          <w:rFonts w:ascii="Arial" w:hAnsi="Arial"/>
          <w:b w:val="0"/>
          <w:color w:val="181818"/>
          <w:sz w:val="20"/>
        </w:rPr>
        <w:t>•  RF and radio/core architecture</w:t>
      </w:r>
    </w:p>
    <w:p>
      <w:pPr>
        <w:keepNext w:val="0"/>
        <w:spacing w:before="0" w:after="100" w:line="269" w:lineRule="auto"/>
        <w:ind w:left="187" w:hanging="187"/>
      </w:pPr>
      <w:r>
        <w:rPr>
          <w:rFonts w:ascii="Arial" w:hAnsi="Arial"/>
          <w:b w:val="0"/>
          <w:color w:val="181818"/>
          <w:sz w:val="20"/>
        </w:rPr>
        <w:t>•  Subscriber identity and network-policy design</w:t>
      </w:r>
    </w:p>
    <w:p>
      <w:pPr>
        <w:keepNext w:val="0"/>
        <w:spacing w:before="0" w:after="100" w:line="269" w:lineRule="auto"/>
        <w:ind w:left="187" w:hanging="187"/>
      </w:pPr>
      <w:r>
        <w:rPr>
          <w:rFonts w:ascii="Arial" w:hAnsi="Arial"/>
          <w:b w:val="0"/>
          <w:color w:val="181818"/>
          <w:sz w:val="20"/>
        </w:rPr>
        <w:t>•  Pilot coverage/application test report</w:t>
      </w:r>
    </w:p>
    <w:p>
      <w:pPr>
        <w:keepNext w:val="0"/>
        <w:spacing w:before="0" w:after="100" w:line="269" w:lineRule="auto"/>
        <w:ind w:left="187" w:hanging="187"/>
      </w:pPr>
      <w:r>
        <w:rPr>
          <w:rFonts w:ascii="Arial" w:hAnsi="Arial"/>
          <w:b w:val="0"/>
          <w:color w:val="181818"/>
          <w:sz w:val="20"/>
        </w:rPr>
        <w:t>•  Spectrum, inventory, monitoring and operations runbook</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GHT-SVC-016 / PRIVATE 5G AND CBRS</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Use cases, client count, mobility and application behavior</w:t>
      </w:r>
    </w:p>
    <w:p>
      <w:pPr>
        <w:keepNext w:val="0"/>
        <w:spacing w:before="0" w:after="100" w:line="269" w:lineRule="auto"/>
        <w:ind w:left="187" w:hanging="187"/>
      </w:pPr>
      <w:r>
        <w:rPr>
          <w:rFonts w:ascii="Arial" w:hAnsi="Arial"/>
          <w:b w:val="0"/>
          <w:color w:val="181818"/>
          <w:sz w:val="20"/>
        </w:rPr>
        <w:t>•  Device modem, band, SIM/eSIM and certification support</w:t>
      </w:r>
    </w:p>
    <w:p>
      <w:pPr>
        <w:keepNext w:val="0"/>
        <w:spacing w:before="0" w:after="100" w:line="269" w:lineRule="auto"/>
        <w:ind w:left="187" w:hanging="187"/>
      </w:pPr>
      <w:r>
        <w:rPr>
          <w:rFonts w:ascii="Arial" w:hAnsi="Arial"/>
          <w:b w:val="0"/>
          <w:color w:val="181818"/>
          <w:sz w:val="20"/>
        </w:rPr>
        <w:t>•  Coverage area, construction and interference environment</w:t>
      </w:r>
    </w:p>
    <w:p>
      <w:pPr>
        <w:keepNext w:val="0"/>
        <w:spacing w:before="0" w:after="100" w:line="269" w:lineRule="auto"/>
        <w:ind w:left="187" w:hanging="187"/>
      </w:pPr>
      <w:r>
        <w:rPr>
          <w:rFonts w:ascii="Arial" w:hAnsi="Arial"/>
          <w:b w:val="0"/>
          <w:color w:val="181818"/>
          <w:sz w:val="20"/>
        </w:rPr>
        <w:t>•  Core location, backhaul, addressing and security boundaries</w:t>
      </w:r>
    </w:p>
    <w:p>
      <w:pPr>
        <w:keepNext w:val="0"/>
        <w:spacing w:before="0" w:after="100" w:line="269" w:lineRule="auto"/>
        <w:ind w:left="187" w:hanging="187"/>
      </w:pPr>
      <w:r>
        <w:rPr>
          <w:rFonts w:ascii="Arial" w:hAnsi="Arial"/>
          <w:b w:val="0"/>
          <w:color w:val="181818"/>
          <w:sz w:val="20"/>
        </w:rPr>
        <w:t>•  SAS, spectrum tier, monitoring and operations model</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Device and band compatibility</w:t>
      </w:r>
    </w:p>
    <w:p>
      <w:pPr>
        <w:keepNext w:val="0"/>
        <w:spacing w:before="0" w:after="100" w:line="269" w:lineRule="auto"/>
        <w:ind w:left="187" w:hanging="187"/>
      </w:pPr>
      <w:r>
        <w:rPr>
          <w:rFonts w:ascii="Arial" w:hAnsi="Arial"/>
          <w:b w:val="0"/>
          <w:color w:val="181818"/>
          <w:sz w:val="20"/>
        </w:rPr>
        <w:t>•  FCC Part 96 and SAS operating conditions</w:t>
      </w:r>
    </w:p>
    <w:p>
      <w:pPr>
        <w:keepNext w:val="0"/>
        <w:spacing w:before="0" w:after="100" w:line="269" w:lineRule="auto"/>
        <w:ind w:left="187" w:hanging="187"/>
      </w:pPr>
      <w:r>
        <w:rPr>
          <w:rFonts w:ascii="Arial" w:hAnsi="Arial"/>
          <w:b w:val="0"/>
          <w:color w:val="181818"/>
          <w:sz w:val="20"/>
        </w:rPr>
        <w:t>•  Core/backhaul availability and integration</w:t>
      </w:r>
    </w:p>
    <w:p>
      <w:pPr>
        <w:keepNext w:val="0"/>
        <w:spacing w:before="0" w:after="100" w:line="269" w:lineRule="auto"/>
        <w:ind w:left="187" w:hanging="187"/>
      </w:pPr>
      <w:r>
        <w:rPr>
          <w:rFonts w:ascii="Arial" w:hAnsi="Arial"/>
          <w:b w:val="0"/>
          <w:color w:val="181818"/>
          <w:sz w:val="20"/>
        </w:rPr>
        <w:t>•  Specialized monitoring, identity and radio support skills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Electronic Code of Federal Regulations — 47 CFR Part 96: Citizens Broadband Radio Service</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BICSI — ANSI/BICSI 006-2026: Distributed Antenna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Cybersecurity and Infrastructure Security Agency — Enhanced Visibility and Hardening Guidance for Communications Infrastructure</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ecfr.gov/current/title-47/chapter-I/subchapter-D/part-96" TargetMode="External"/><Relationship Id="rId13" Type="http://schemas.openxmlformats.org/officeDocument/2006/relationships/hyperlink" Target="https://shop.bicsi.org/ansi-bicsi-006-2026-standards-for-distributed-antenna-system-print-version" TargetMode="External"/><Relationship Id="rId14" Type="http://schemas.openxmlformats.org/officeDocument/2006/relationships/hyperlink" Target="https://www.cisa.gov/resources-tools/resources/enhanced-visibility-and-hardening-guidance-communications-infrastructure" TargetMode="External"/><Relationship Id="rId15" Type="http://schemas.openxmlformats.org/officeDocument/2006/relationships/hyperlink" Target="https://ght.network/services/networks-wireless/private-5g-cb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5G and CBRS — Service specification</dc:title>
  <dc:subject>Private LTE or 5G combines compatible devices, SIM or eSIM identities, radios, transport, and a mobile core; many US deployments use CBRS spectrum under FCC Part 96.</dc:subject>
  <dc:creator>Glass House Technologies</dc:creator>
  <cp:keywords>Networks and wireless,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