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MANAGED OPERATIONS</w:t>
      </w:r>
    </w:p>
    <w:p>
      <w:pPr>
        <w:keepNext/>
        <w:spacing w:before="0" w:after="180" w:line="269" w:lineRule="auto"/>
      </w:pPr>
      <w:r>
        <w:rPr>
          <w:rFonts w:ascii="Arial" w:hAnsi="Arial"/>
          <w:b/>
          <w:color w:val="181818"/>
          <w:sz w:val="48"/>
        </w:rPr>
        <w:t>Quarterly reviews, roadmaps, and vendor coordination</w:t>
      </w:r>
    </w:p>
    <w:p>
      <w:pPr>
        <w:keepNext w:val="0"/>
        <w:spacing w:before="0" w:after="240" w:line="269" w:lineRule="auto"/>
      </w:pPr>
      <w:r>
        <w:rPr>
          <w:rFonts w:ascii="Arial" w:hAnsi="Arial"/>
          <w:b w:val="0"/>
          <w:color w:val="646464"/>
          <w:sz w:val="17"/>
        </w:rPr>
        <w:t>GHT-SVC-036   •   Revision 1.0   •   06 September 2026   •   1 / 3</w:t>
      </w:r>
    </w:p>
    <w:p>
      <w:pPr>
        <w:keepNext w:val="0"/>
        <w:spacing w:before="0" w:after="180" w:line="269" w:lineRule="auto"/>
      </w:pPr>
      <w:r>
        <w:rPr>
          <w:rFonts w:ascii="Arial" w:hAnsi="Arial"/>
          <w:b w:val="0"/>
          <w:color w:val="181818"/>
          <w:sz w:val="22"/>
        </w:rPr>
        <w:t>Periodic reviews reconcile service performance, recurring problems, monitoring, lifecycle, capacity, security, projects, contracts, vendors, budgets, prior actions, and business changes.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prioritized roadmap with evidence, decisions, owners, target dates, dependencies, vendor actions, budget timing, and unresolved data gaps.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quarterly review is not a required interval or a generic status meeting. The right frequency follows business change, risk, contract, budget, and operating tempo. Check the inputs before the meeting so the time is spent deciding instead of discovering basic facts.</w:t>
      </w:r>
    </w:p>
    <w:p>
      <w:pPr>
        <w:keepNext w:val="0"/>
        <w:spacing w:before="0" w:after="120" w:line="269" w:lineRule="auto"/>
      </w:pPr>
      <w:r>
        <w:rPr>
          <w:rFonts w:ascii="Arial" w:hAnsi="Arial"/>
          <w:b w:val="0"/>
          <w:color w:val="181818"/>
          <w:sz w:val="20"/>
        </w:rPr>
        <w:t>Vendor coordination clarifies responsibility across carriers, software publishers, equipment manufacturers, landlords, contractors, internal teams, and managed providers. GHT can coordinate scoped work, but cannot control third-party dates, pricing, approvals, service performance, or contract obligations.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Evidence</w:t>
            </w:r>
          </w:p>
        </w:tc>
        <w:tc>
          <w:tcPr>
            <w:tcW w:type="dxa" w:w="7200"/>
            <w:shd w:fill="F4F1E9"/>
          </w:tcPr>
          <w:p>
            <w:pPr>
              <w:spacing w:before="100" w:after="100"/>
            </w:pPr>
            <w:r>
              <w:rPr>
                <w:rFonts w:ascii="Arial" w:hAnsi="Arial"/>
                <w:sz w:val="18"/>
              </w:rPr>
              <w:t>Service, incident, monitoring, asset, change, capacity, security, project, vendor and cost records</w:t>
            </w:r>
          </w:p>
        </w:tc>
      </w:tr>
      <w:tr>
        <w:tc>
          <w:tcPr>
            <w:tcW w:type="dxa" w:w="2160"/>
            <w:shd w:fill="FFFFFF"/>
          </w:tcPr>
          <w:p>
            <w:pPr>
              <w:spacing w:before="100" w:after="100"/>
            </w:pPr>
            <w:r>
              <w:rPr>
                <w:rFonts w:ascii="Arial" w:hAnsi="Arial"/>
                <w:b/>
                <w:sz w:val="18"/>
              </w:rPr>
              <w:t>02  Interpretation</w:t>
            </w:r>
          </w:p>
        </w:tc>
        <w:tc>
          <w:tcPr>
            <w:tcW w:type="dxa" w:w="7200"/>
            <w:shd w:fill="FFFFFF"/>
          </w:tcPr>
          <w:p>
            <w:pPr>
              <w:spacing w:before="100" w:after="100"/>
            </w:pPr>
            <w:r>
              <w:rPr>
                <w:rFonts w:ascii="Arial" w:hAnsi="Arial"/>
                <w:sz w:val="18"/>
              </w:rPr>
              <w:t>Trend, dependency, root or recurring condition, risk, lifecycle and business impact</w:t>
            </w:r>
          </w:p>
        </w:tc>
      </w:tr>
      <w:tr>
        <w:tc>
          <w:tcPr>
            <w:tcW w:type="dxa" w:w="2160"/>
            <w:shd w:fill="F4F1E9"/>
          </w:tcPr>
          <w:p>
            <w:pPr>
              <w:spacing w:before="100" w:after="100"/>
            </w:pPr>
            <w:r>
              <w:rPr>
                <w:rFonts w:ascii="Arial" w:hAnsi="Arial"/>
                <w:b/>
                <w:sz w:val="18"/>
              </w:rPr>
              <w:t>03  Decision</w:t>
            </w:r>
          </w:p>
        </w:tc>
        <w:tc>
          <w:tcPr>
            <w:tcW w:type="dxa" w:w="7200"/>
            <w:shd w:fill="F4F1E9"/>
          </w:tcPr>
          <w:p>
            <w:pPr>
              <w:spacing w:before="100" w:after="100"/>
            </w:pPr>
            <w:r>
              <w:rPr>
                <w:rFonts w:ascii="Arial" w:hAnsi="Arial"/>
                <w:sz w:val="18"/>
              </w:rPr>
              <w:t>Option, trade-off, authority, accepted risk, owner, target, budget and dependency</w:t>
            </w:r>
          </w:p>
        </w:tc>
      </w:tr>
      <w:tr>
        <w:tc>
          <w:tcPr>
            <w:tcW w:type="dxa" w:w="2160"/>
            <w:shd w:fill="FFFFFF"/>
          </w:tcPr>
          <w:p>
            <w:pPr>
              <w:spacing w:before="100" w:after="100"/>
            </w:pPr>
            <w:r>
              <w:rPr>
                <w:rFonts w:ascii="Arial" w:hAnsi="Arial"/>
                <w:b/>
                <w:sz w:val="18"/>
              </w:rPr>
              <w:t>04  Roadmap</w:t>
            </w:r>
          </w:p>
        </w:tc>
        <w:tc>
          <w:tcPr>
            <w:tcW w:type="dxa" w:w="7200"/>
            <w:shd w:fill="FFFFFF"/>
          </w:tcPr>
          <w:p>
            <w:pPr>
              <w:spacing w:before="100" w:after="100"/>
            </w:pPr>
            <w:r>
              <w:rPr>
                <w:rFonts w:ascii="Arial" w:hAnsi="Arial"/>
                <w:sz w:val="18"/>
              </w:rPr>
              <w:t>Now, next cycle, later, vendor actions, measures, review date and change history</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Recurring incidents remain visible but unowned</w:t>
      </w:r>
    </w:p>
    <w:p>
      <w:pPr>
        <w:keepNext w:val="0"/>
        <w:spacing w:before="0" w:after="100" w:line="269" w:lineRule="auto"/>
        <w:ind w:left="187" w:hanging="187"/>
      </w:pPr>
      <w:r>
        <w:rPr>
          <w:rFonts w:ascii="Arial" w:hAnsi="Arial"/>
          <w:b w:val="0"/>
          <w:color w:val="181818"/>
          <w:sz w:val="20"/>
        </w:rPr>
        <w:t>•  Projects, renewals, support dates, budgets, and capacity decisions arrive as surprises</w:t>
      </w:r>
    </w:p>
    <w:p>
      <w:pPr>
        <w:keepNext w:val="0"/>
        <w:spacing w:before="0" w:after="100" w:line="269" w:lineRule="auto"/>
        <w:ind w:left="187" w:hanging="187"/>
      </w:pPr>
      <w:r>
        <w:rPr>
          <w:rFonts w:ascii="Arial" w:hAnsi="Arial"/>
          <w:b w:val="0"/>
          <w:color w:val="181818"/>
          <w:sz w:val="20"/>
        </w:rPr>
        <w:t>•  Different vendors attribute the same problem to one another without shared evidence</w:t>
      </w:r>
    </w:p>
    <w:p>
      <w:pPr>
        <w:keepNext w:val="0"/>
        <w:spacing w:before="0" w:after="100" w:line="269" w:lineRule="auto"/>
        <w:ind w:left="187" w:hanging="187"/>
      </w:pPr>
      <w:r>
        <w:rPr>
          <w:rFonts w:ascii="Arial" w:hAnsi="Arial"/>
          <w:b w:val="0"/>
          <w:color w:val="181818"/>
          <w:sz w:val="20"/>
        </w:rPr>
        <w:t>•  Leadership receives device counts and ticket totals without service, risk, or decision context</w:t>
      </w:r>
    </w:p>
    <w:p>
      <w:r>
        <w:br w:type="page"/>
      </w:r>
    </w:p>
    <w:p>
      <w:pPr>
        <w:keepNext/>
        <w:spacing w:before="1200" w:after="160" w:line="269" w:lineRule="auto"/>
      </w:pPr>
      <w:r>
        <w:rPr>
          <w:rFonts w:ascii="Arial" w:hAnsi="Arial"/>
          <w:b/>
          <w:color w:val="9B792B"/>
          <w:sz w:val="18"/>
        </w:rPr>
        <w:t>GHT-SVC-036 / QUARTERLY REVIEWS, ROADMAPS, AND VENDOR COORDINATION</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Check the operating record</w:t>
      </w:r>
    </w:p>
    <w:p>
      <w:pPr>
        <w:keepNext w:val="0"/>
        <w:spacing w:before="0" w:after="80" w:line="269" w:lineRule="auto"/>
      </w:pPr>
      <w:r>
        <w:rPr>
          <w:rFonts w:ascii="Arial" w:hAnsi="Arial"/>
          <w:b w:val="0"/>
          <w:color w:val="181818"/>
          <w:sz w:val="20"/>
        </w:rPr>
        <w:t>Collect service outcomes, incidents, recurring problems, alerts, changes, assets, support and licenses, capacity, security, projects, vendors, spend, prior actions, and business changes.</w:t>
      </w:r>
    </w:p>
    <w:p>
      <w:pPr>
        <w:keepNext w:val="0"/>
        <w:spacing w:before="0" w:after="140" w:line="269" w:lineRule="auto"/>
      </w:pPr>
      <w:r>
        <w:rPr>
          <w:rFonts w:ascii="Arial" w:hAnsi="Arial"/>
          <w:b/>
          <w:color w:val="181818"/>
          <w:sz w:val="18"/>
        </w:rPr>
        <w:t>Acceptance evidence: Dated source record with checked inputs, scope, trends, unresolved data gaps, prior-decision status, and vendor inputs.</w:t>
      </w:r>
    </w:p>
    <w:p>
      <w:pPr>
        <w:keepNext/>
        <w:spacing w:before="200" w:after="120" w:line="269" w:lineRule="auto"/>
      </w:pPr>
      <w:r>
        <w:rPr>
          <w:rFonts w:ascii="Arial" w:hAnsi="Arial"/>
          <w:b/>
          <w:color w:val="9B792B"/>
          <w:sz w:val="24"/>
        </w:rPr>
        <w:t>02  Frame decisions and trade-offs</w:t>
      </w:r>
    </w:p>
    <w:p>
      <w:pPr>
        <w:keepNext w:val="0"/>
        <w:spacing w:before="0" w:after="80" w:line="269" w:lineRule="auto"/>
      </w:pPr>
      <w:r>
        <w:rPr>
          <w:rFonts w:ascii="Arial" w:hAnsi="Arial"/>
          <w:b w:val="0"/>
          <w:color w:val="181818"/>
          <w:sz w:val="20"/>
        </w:rPr>
        <w:t>Translate evidence into service, risk, lifecycle, capacity, project, vendor, budget, and policy decisions with options, dependencies, consequence, timing, and recommendation.</w:t>
      </w:r>
    </w:p>
    <w:p>
      <w:pPr>
        <w:keepNext w:val="0"/>
        <w:spacing w:before="0" w:after="140" w:line="269" w:lineRule="auto"/>
      </w:pPr>
      <w:r>
        <w:rPr>
          <w:rFonts w:ascii="Arial" w:hAnsi="Arial"/>
          <w:b/>
          <w:color w:val="181818"/>
          <w:sz w:val="18"/>
        </w:rPr>
        <w:t>Acceptance evidence: Decision register with options, evidence, risk, cost range where available, dependency, deadline, and recommended owner.</w:t>
      </w:r>
    </w:p>
    <w:p>
      <w:pPr>
        <w:keepNext/>
        <w:spacing w:before="200" w:after="120" w:line="269" w:lineRule="auto"/>
      </w:pPr>
      <w:r>
        <w:rPr>
          <w:rFonts w:ascii="Arial" w:hAnsi="Arial"/>
          <w:b/>
          <w:color w:val="9B792B"/>
          <w:sz w:val="24"/>
        </w:rPr>
        <w:t>03  Decide and sequence</w:t>
      </w:r>
    </w:p>
    <w:p>
      <w:pPr>
        <w:keepNext w:val="0"/>
        <w:spacing w:before="0" w:after="80" w:line="269" w:lineRule="auto"/>
      </w:pPr>
      <w:r>
        <w:rPr>
          <w:rFonts w:ascii="Arial" w:hAnsi="Arial"/>
          <w:b w:val="0"/>
          <w:color w:val="181818"/>
          <w:sz w:val="20"/>
        </w:rPr>
        <w:t>Review material changes, close prior actions, accept or reject recommendations, assign owners, resolve vendor boundaries, and sequence immediate, next-cycle, and longer-range work.</w:t>
      </w:r>
    </w:p>
    <w:p>
      <w:pPr>
        <w:keepNext w:val="0"/>
        <w:spacing w:before="0" w:after="140" w:line="269" w:lineRule="auto"/>
      </w:pPr>
      <w:r>
        <w:rPr>
          <w:rFonts w:ascii="Arial" w:hAnsi="Arial"/>
          <w:b/>
          <w:color w:val="181818"/>
          <w:sz w:val="18"/>
        </w:rPr>
        <w:t>Acceptance evidence: Meeting decision log, accepted risk statements, owners, target dates, dependencies, vendor commitments, and approved priorities.</w:t>
      </w:r>
    </w:p>
    <w:p>
      <w:pPr>
        <w:keepNext/>
        <w:spacing w:before="200" w:after="120" w:line="269" w:lineRule="auto"/>
      </w:pPr>
      <w:r>
        <w:rPr>
          <w:rFonts w:ascii="Arial" w:hAnsi="Arial"/>
          <w:b/>
          <w:color w:val="9B792B"/>
          <w:sz w:val="24"/>
        </w:rPr>
        <w:t>04  Publish and follow through</w:t>
      </w:r>
    </w:p>
    <w:p>
      <w:pPr>
        <w:keepNext w:val="0"/>
        <w:spacing w:before="0" w:after="80" w:line="269" w:lineRule="auto"/>
      </w:pPr>
      <w:r>
        <w:rPr>
          <w:rFonts w:ascii="Arial" w:hAnsi="Arial"/>
          <w:b w:val="0"/>
          <w:color w:val="181818"/>
          <w:sz w:val="20"/>
        </w:rPr>
        <w:t>Update the roadmap, project and vendor actions, lifecycle plan, budgets, risk register, contract questions, and measurement plan; track execution until the next cadence.</w:t>
      </w:r>
    </w:p>
    <w:p>
      <w:pPr>
        <w:keepNext w:val="0"/>
        <w:spacing w:before="0" w:after="140" w:line="269" w:lineRule="auto"/>
      </w:pPr>
      <w:r>
        <w:rPr>
          <w:rFonts w:ascii="Arial" w:hAnsi="Arial"/>
          <w:b/>
          <w:color w:val="181818"/>
          <w:sz w:val="18"/>
        </w:rPr>
        <w:t>Acceptance evidence: Versioned roadmap, action register, vendor handoff record, updated risk and lifecycle items, and next-review success measures.</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Checked source record and data-gap list</w:t>
      </w:r>
    </w:p>
    <w:p>
      <w:pPr>
        <w:keepNext w:val="0"/>
        <w:spacing w:before="0" w:after="100" w:line="269" w:lineRule="auto"/>
        <w:ind w:left="187" w:hanging="187"/>
      </w:pPr>
      <w:r>
        <w:rPr>
          <w:rFonts w:ascii="Arial" w:hAnsi="Arial"/>
          <w:b w:val="0"/>
          <w:color w:val="181818"/>
          <w:sz w:val="20"/>
        </w:rPr>
        <w:t>•  Decision and accepted-risk register</w:t>
      </w:r>
    </w:p>
    <w:p>
      <w:pPr>
        <w:keepNext w:val="0"/>
        <w:spacing w:before="0" w:after="100" w:line="269" w:lineRule="auto"/>
        <w:ind w:left="187" w:hanging="187"/>
      </w:pPr>
      <w:r>
        <w:rPr>
          <w:rFonts w:ascii="Arial" w:hAnsi="Arial"/>
          <w:b w:val="0"/>
          <w:color w:val="181818"/>
          <w:sz w:val="20"/>
        </w:rPr>
        <w:t>•  Vendor ownership, dependency, action, and escalation record</w:t>
      </w:r>
    </w:p>
    <w:p>
      <w:pPr>
        <w:keepNext w:val="0"/>
        <w:spacing w:before="0" w:after="100" w:line="269" w:lineRule="auto"/>
        <w:ind w:left="187" w:hanging="187"/>
      </w:pPr>
      <w:r>
        <w:rPr>
          <w:rFonts w:ascii="Arial" w:hAnsi="Arial"/>
          <w:b w:val="0"/>
          <w:color w:val="181818"/>
          <w:sz w:val="20"/>
        </w:rPr>
        <w:t>•  Prioritized near-, mid-, and longer-range roadmap with budget timing</w:t>
      </w:r>
    </w:p>
    <w:p>
      <w:pPr>
        <w:keepNext w:val="0"/>
        <w:spacing w:before="0" w:after="100" w:line="269" w:lineRule="auto"/>
        <w:ind w:left="187" w:hanging="187"/>
      </w:pPr>
      <w:r>
        <w:rPr>
          <w:rFonts w:ascii="Arial" w:hAnsi="Arial"/>
          <w:b w:val="0"/>
          <w:color w:val="181818"/>
          <w:sz w:val="20"/>
        </w:rPr>
        <w:t>•  Owner, target, measure, and follow-through action register</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GHT-SVC-036 / QUARTERLY REVIEWS, ROADMAPS, AND VENDOR COORDINATION</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Review scope, cadence, decision makers, operating period, sites, services, and business changes</w:t>
      </w:r>
    </w:p>
    <w:p>
      <w:pPr>
        <w:keepNext w:val="0"/>
        <w:spacing w:before="0" w:after="100" w:line="269" w:lineRule="auto"/>
        <w:ind w:left="187" w:hanging="187"/>
      </w:pPr>
      <w:r>
        <w:rPr>
          <w:rFonts w:ascii="Arial" w:hAnsi="Arial"/>
          <w:b w:val="0"/>
          <w:color w:val="181818"/>
          <w:sz w:val="20"/>
        </w:rPr>
        <w:t>•  Service outcomes, incidents, recurring problems, monitoring, changes, risks, and accepted exceptions</w:t>
      </w:r>
    </w:p>
    <w:p>
      <w:pPr>
        <w:keepNext w:val="0"/>
        <w:spacing w:before="0" w:after="100" w:line="269" w:lineRule="auto"/>
        <w:ind w:left="187" w:hanging="187"/>
      </w:pPr>
      <w:r>
        <w:rPr>
          <w:rFonts w:ascii="Arial" w:hAnsi="Arial"/>
          <w:b w:val="0"/>
          <w:color w:val="181818"/>
          <w:sz w:val="20"/>
        </w:rPr>
        <w:t>•  Assets, support, licenses, capacity, lifecycle, standards, projects, and technical debt</w:t>
      </w:r>
    </w:p>
    <w:p>
      <w:pPr>
        <w:keepNext w:val="0"/>
        <w:spacing w:before="0" w:after="100" w:line="269" w:lineRule="auto"/>
        <w:ind w:left="187" w:hanging="187"/>
      </w:pPr>
      <w:r>
        <w:rPr>
          <w:rFonts w:ascii="Arial" w:hAnsi="Arial"/>
          <w:b w:val="0"/>
          <w:color w:val="181818"/>
          <w:sz w:val="20"/>
        </w:rPr>
        <w:t>•  Vendor contracts, renewals, ownership, tickets, commitments, dependencies, and unresolved boundaries</w:t>
      </w:r>
    </w:p>
    <w:p>
      <w:pPr>
        <w:keepNext w:val="0"/>
        <w:spacing w:before="0" w:after="100" w:line="269" w:lineRule="auto"/>
        <w:ind w:left="187" w:hanging="187"/>
      </w:pPr>
      <w:r>
        <w:rPr>
          <w:rFonts w:ascii="Arial" w:hAnsi="Arial"/>
          <w:b w:val="0"/>
          <w:color w:val="181818"/>
          <w:sz w:val="20"/>
        </w:rPr>
        <w:t>•  Budget timing, procurement, construction, openings, audits, policy decisions, measures, and prior actions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Review cadence, attendees, reporting, service levels, and vendor-coordination responsibilities are contract-specific</w:t>
      </w:r>
    </w:p>
    <w:p>
      <w:pPr>
        <w:keepNext w:val="0"/>
        <w:spacing w:before="0" w:after="100" w:line="269" w:lineRule="auto"/>
        <w:ind w:left="187" w:hanging="187"/>
      </w:pPr>
      <w:r>
        <w:rPr>
          <w:rFonts w:ascii="Arial" w:hAnsi="Arial"/>
          <w:b w:val="0"/>
          <w:color w:val="181818"/>
          <w:sz w:val="20"/>
        </w:rPr>
        <w:t>•  Roadmap dates and cost ranges depend on scope validation, funding, procurement, lead times, access, approvals, and third-party commitments</w:t>
      </w:r>
    </w:p>
    <w:p>
      <w:pPr>
        <w:keepNext w:val="0"/>
        <w:spacing w:before="0" w:after="100" w:line="269" w:lineRule="auto"/>
        <w:ind w:left="187" w:hanging="187"/>
      </w:pPr>
      <w:r>
        <w:rPr>
          <w:rFonts w:ascii="Arial" w:hAnsi="Arial"/>
          <w:b w:val="0"/>
          <w:color w:val="181818"/>
          <w:sz w:val="20"/>
        </w:rPr>
        <w:t>•  GHT can coordinate but cannot bind an external vendor without that vendor’s confirmed commitment</w:t>
      </w:r>
    </w:p>
    <w:p>
      <w:pPr>
        <w:keepNext w:val="0"/>
        <w:spacing w:before="0" w:after="100" w:line="269" w:lineRule="auto"/>
        <w:ind w:left="187" w:hanging="187"/>
      </w:pPr>
      <w:r>
        <w:rPr>
          <w:rFonts w:ascii="Arial" w:hAnsi="Arial"/>
          <w:b w:val="0"/>
          <w:color w:val="181818"/>
          <w:sz w:val="20"/>
        </w:rPr>
        <w:t>•  A review is only as reliable as its source records; unknowns and unverified vendor claims must remain visibly qualified</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Cybersecurity Framework 2.0</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Cybersecurity and Infrastructure Security Agency — Cross-Sector Cybersecurity Performance Goals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800-137A: Assessing Continuous Monitoring Programs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International Organization for Standardization — ISO 55000:2024: Asset management overview and principles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nist.gov/cyberframework" TargetMode="External"/><Relationship Id="rId13" Type="http://schemas.openxmlformats.org/officeDocument/2006/relationships/hyperlink" Target="https://www.cisa.gov/cybersecurity-performance-goals" TargetMode="External"/><Relationship Id="rId14" Type="http://schemas.openxmlformats.org/officeDocument/2006/relationships/hyperlink" Target="https://csrc.nist.gov/pubs/sp/800/137/a/final" TargetMode="External"/><Relationship Id="rId15" Type="http://schemas.openxmlformats.org/officeDocument/2006/relationships/hyperlink" Target="https://www.iso.org/standard/83053.html" TargetMode="External"/><Relationship Id="rId16" Type="http://schemas.openxmlformats.org/officeDocument/2006/relationships/hyperlink" Target="https://ght.network/services/managed-operations/quarterly-reviews-roadmaps-vendor-coordin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reviews, roadmaps, and vendor coordination — Service specification</dc:title>
  <dc:subject>Periodic reviews reconcile service performance, recurring problems, monitoring, lifecycle, capacity, security, projects, contracts, vendors, budgets, prior actions, and business changes.</dc:subject>
  <dc:creator>Glass House Technologies</dc:creator>
  <cp:keywords>Managed operations,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