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SECURITY</w:t>
      </w:r>
    </w:p>
    <w:p>
      <w:pPr>
        <w:keepNext/>
        <w:spacing w:before="0" w:after="180" w:line="269" w:lineRule="auto"/>
      </w:pPr>
      <w:r>
        <w:rPr>
          <w:rFonts w:ascii="Arial" w:hAnsi="Arial"/>
          <w:b/>
          <w:color w:val="181818"/>
          <w:sz w:val="48"/>
        </w:rPr>
        <w:t>Security systems integration</w:t>
      </w:r>
    </w:p>
    <w:p>
      <w:pPr>
        <w:keepNext w:val="0"/>
        <w:spacing w:before="0" w:after="240" w:line="269" w:lineRule="auto"/>
      </w:pPr>
      <w:r>
        <w:rPr>
          <w:rFonts w:ascii="Arial" w:hAnsi="Arial"/>
          <w:b w:val="0"/>
          <w:color w:val="646464"/>
          <w:sz w:val="17"/>
        </w:rPr>
        <w:t>GHT-SVC-022   •   Revision 1.0   •   06 September 2026   •   1 / 3</w:t>
      </w:r>
    </w:p>
    <w:p>
      <w:pPr>
        <w:keepNext w:val="0"/>
        <w:spacing w:before="0" w:after="180" w:line="269" w:lineRule="auto"/>
      </w:pPr>
      <w:r>
        <w:rPr>
          <w:rFonts w:ascii="Arial" w:hAnsi="Arial"/>
          <w:b w:val="0"/>
          <w:color w:val="181818"/>
          <w:sz w:val="22"/>
        </w:rPr>
        <w:t>Supported APIs and standards can correlate video, access, intrusion, intercom, visitor, and identity events.</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Tested event and identity connections with permission records, correlated logs, failure alerts, recovery tests, and an operator runbook.</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 security integration may correlate access events with video, issue temporary visitor credentials, trigger an intercom workflow, synchronize identities, or route alarms into a shared operating view. The supported API or standard, licensing, versions, data ownership, and permissions determine whether the design is sustainable.</w:t>
      </w:r>
    </w:p>
    <w:p>
      <w:pPr>
        <w:keepNext w:val="0"/>
        <w:spacing w:before="0" w:after="120" w:line="269" w:lineRule="auto"/>
      </w:pPr>
      <w:r>
        <w:rPr>
          <w:rFonts w:ascii="Arial" w:hAnsi="Arial"/>
          <w:b w:val="0"/>
          <w:color w:val="181818"/>
          <w:sz w:val="20"/>
        </w:rPr>
        <w:t>Integration does not remove the need to commission each underlying system independently. Each automated action needs a defined trigger, authorization, audit record, retry or timeout behavior, and manual fallback.</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Systems of record</w:t>
            </w:r>
          </w:p>
        </w:tc>
        <w:tc>
          <w:tcPr>
            <w:tcW w:type="dxa" w:w="7200"/>
            <w:shd w:fill="F4F1E9"/>
          </w:tcPr>
          <w:p>
            <w:pPr>
              <w:spacing w:before="100" w:after="100"/>
            </w:pPr>
            <w:r>
              <w:rPr>
                <w:rFonts w:ascii="Arial" w:hAnsi="Arial"/>
                <w:sz w:val="18"/>
              </w:rPr>
              <w:t>Identity, credentials, devices, schedules, visitors, incidents</w:t>
            </w:r>
          </w:p>
        </w:tc>
      </w:tr>
      <w:tr>
        <w:tc>
          <w:tcPr>
            <w:tcW w:type="dxa" w:w="2160"/>
            <w:shd w:fill="FFFFFF"/>
          </w:tcPr>
          <w:p>
            <w:pPr>
              <w:spacing w:before="100" w:after="100"/>
            </w:pPr>
            <w:r>
              <w:rPr>
                <w:rFonts w:ascii="Arial" w:hAnsi="Arial"/>
                <w:b/>
                <w:sz w:val="18"/>
              </w:rPr>
              <w:t>02  Interface</w:t>
            </w:r>
          </w:p>
        </w:tc>
        <w:tc>
          <w:tcPr>
            <w:tcW w:type="dxa" w:w="7200"/>
            <w:shd w:fill="FFFFFF"/>
          </w:tcPr>
          <w:p>
            <w:pPr>
              <w:spacing w:before="100" w:after="100"/>
            </w:pPr>
            <w:r>
              <w:rPr>
                <w:rFonts w:ascii="Arial" w:hAnsi="Arial"/>
                <w:sz w:val="18"/>
              </w:rPr>
              <w:t>Supported API, webhook, SDK, connector, ONVIF or SIA data model</w:t>
            </w:r>
          </w:p>
        </w:tc>
      </w:tr>
      <w:tr>
        <w:tc>
          <w:tcPr>
            <w:tcW w:type="dxa" w:w="2160"/>
            <w:shd w:fill="F4F1E9"/>
          </w:tcPr>
          <w:p>
            <w:pPr>
              <w:spacing w:before="100" w:after="100"/>
            </w:pPr>
            <w:r>
              <w:rPr>
                <w:rFonts w:ascii="Arial" w:hAnsi="Arial"/>
                <w:b/>
                <w:sz w:val="18"/>
              </w:rPr>
              <w:t>03  Policy</w:t>
            </w:r>
          </w:p>
        </w:tc>
        <w:tc>
          <w:tcPr>
            <w:tcW w:type="dxa" w:w="7200"/>
            <w:shd w:fill="F4F1E9"/>
          </w:tcPr>
          <w:p>
            <w:pPr>
              <w:spacing w:before="100" w:after="100"/>
            </w:pPr>
            <w:r>
              <w:rPr>
                <w:rFonts w:ascii="Arial" w:hAnsi="Arial"/>
                <w:sz w:val="18"/>
              </w:rPr>
              <w:t>Authorization, mapping, transformation, retry, deduplication, retention</w:t>
            </w:r>
          </w:p>
        </w:tc>
      </w:tr>
      <w:tr>
        <w:tc>
          <w:tcPr>
            <w:tcW w:type="dxa" w:w="2160"/>
            <w:shd w:fill="FFFFFF"/>
          </w:tcPr>
          <w:p>
            <w:pPr>
              <w:spacing w:before="100" w:after="100"/>
            </w:pPr>
            <w:r>
              <w:rPr>
                <w:rFonts w:ascii="Arial" w:hAnsi="Arial"/>
                <w:b/>
                <w:sz w:val="18"/>
              </w:rPr>
              <w:t>04  Operations</w:t>
            </w:r>
          </w:p>
        </w:tc>
        <w:tc>
          <w:tcPr>
            <w:tcW w:type="dxa" w:w="7200"/>
            <w:shd w:fill="FFFFFF"/>
          </w:tcPr>
          <w:p>
            <w:pPr>
              <w:spacing w:before="100" w:after="100"/>
            </w:pPr>
            <w:r>
              <w:rPr>
                <w:rFonts w:ascii="Arial" w:hAnsi="Arial"/>
                <w:sz w:val="18"/>
              </w:rPr>
              <w:t>Logs, health, alerts, manual fallback, upgrade and owner process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Operators switch among systems to reconstruct one event</w:t>
      </w:r>
    </w:p>
    <w:p>
      <w:pPr>
        <w:keepNext w:val="0"/>
        <w:spacing w:before="0" w:after="100" w:line="269" w:lineRule="auto"/>
        <w:ind w:left="187" w:hanging="187"/>
      </w:pPr>
      <w:r>
        <w:rPr>
          <w:rFonts w:ascii="Arial" w:hAnsi="Arial"/>
          <w:b w:val="0"/>
          <w:color w:val="181818"/>
          <w:sz w:val="20"/>
        </w:rPr>
        <w:t>•  Duplicate identity records create slow or inconsistent revocation</w:t>
      </w:r>
    </w:p>
    <w:p>
      <w:pPr>
        <w:keepNext w:val="0"/>
        <w:spacing w:before="0" w:after="100" w:line="269" w:lineRule="auto"/>
        <w:ind w:left="187" w:hanging="187"/>
      </w:pPr>
      <w:r>
        <w:rPr>
          <w:rFonts w:ascii="Arial" w:hAnsi="Arial"/>
          <w:b w:val="0"/>
          <w:color w:val="181818"/>
          <w:sz w:val="20"/>
        </w:rPr>
        <w:t>•  An unsupported custom link breaks during upgrades</w:t>
      </w:r>
    </w:p>
    <w:p>
      <w:pPr>
        <w:keepNext w:val="0"/>
        <w:spacing w:before="0" w:after="100" w:line="269" w:lineRule="auto"/>
        <w:ind w:left="187" w:hanging="187"/>
      </w:pPr>
      <w:r>
        <w:rPr>
          <w:rFonts w:ascii="Arial" w:hAnsi="Arial"/>
          <w:b w:val="0"/>
          <w:color w:val="181818"/>
          <w:sz w:val="20"/>
        </w:rPr>
        <w:t>•  Automated actions lack audit records, failure alerts, or a manual path</w:t>
      </w:r>
    </w:p>
    <w:p>
      <w:r>
        <w:br w:type="page"/>
      </w:r>
    </w:p>
    <w:p>
      <w:pPr>
        <w:keepNext/>
        <w:spacing w:before="1200" w:after="160" w:line="269" w:lineRule="auto"/>
      </w:pPr>
      <w:r>
        <w:rPr>
          <w:rFonts w:ascii="Arial" w:hAnsi="Arial"/>
          <w:b/>
          <w:color w:val="9B792B"/>
          <w:sz w:val="18"/>
        </w:rPr>
        <w:t>GHT-SVC-022 / SECURITY SYSTEMS INTEGRATION</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Map the current workflow</w:t>
      </w:r>
    </w:p>
    <w:p>
      <w:pPr>
        <w:keepNext w:val="0"/>
        <w:spacing w:before="0" w:after="80" w:line="269" w:lineRule="auto"/>
      </w:pPr>
      <w:r>
        <w:rPr>
          <w:rFonts w:ascii="Arial" w:hAnsi="Arial"/>
          <w:b w:val="0"/>
          <w:color w:val="181818"/>
          <w:sz w:val="20"/>
        </w:rPr>
        <w:t>Identify systems, identities, event sources, operator steps, permissions, versions, licensing, data retention, and failure pain points.</w:t>
      </w:r>
    </w:p>
    <w:p>
      <w:pPr>
        <w:keepNext w:val="0"/>
        <w:spacing w:before="0" w:after="140" w:line="269" w:lineRule="auto"/>
      </w:pPr>
      <w:r>
        <w:rPr>
          <w:rFonts w:ascii="Arial" w:hAnsi="Arial"/>
          <w:b/>
          <w:color w:val="181818"/>
          <w:sz w:val="18"/>
        </w:rPr>
        <w:t>Acceptance evidence: Current-state sequence diagram, data-owner matrix, interface inventory, and version/licensing record.</w:t>
      </w:r>
    </w:p>
    <w:p>
      <w:pPr>
        <w:keepNext/>
        <w:spacing w:before="200" w:after="120" w:line="269" w:lineRule="auto"/>
      </w:pPr>
      <w:r>
        <w:rPr>
          <w:rFonts w:ascii="Arial" w:hAnsi="Arial"/>
          <w:b/>
          <w:color w:val="9B792B"/>
          <w:sz w:val="24"/>
        </w:rPr>
        <w:t>02  Design the contract</w:t>
      </w:r>
    </w:p>
    <w:p>
      <w:pPr>
        <w:keepNext w:val="0"/>
        <w:spacing w:before="0" w:after="80" w:line="269" w:lineRule="auto"/>
      </w:pPr>
      <w:r>
        <w:rPr>
          <w:rFonts w:ascii="Arial" w:hAnsi="Arial"/>
          <w:b w:val="0"/>
          <w:color w:val="181818"/>
          <w:sz w:val="20"/>
        </w:rPr>
        <w:t>Define source of truth, events, fields, actions, authorization, rate limits, retries, deduplication, logging, fallback, and change ownership.</w:t>
      </w:r>
    </w:p>
    <w:p>
      <w:pPr>
        <w:keepNext w:val="0"/>
        <w:spacing w:before="0" w:after="140" w:line="269" w:lineRule="auto"/>
      </w:pPr>
      <w:r>
        <w:rPr>
          <w:rFonts w:ascii="Arial" w:hAnsi="Arial"/>
          <w:b/>
          <w:color w:val="181818"/>
          <w:sz w:val="18"/>
        </w:rPr>
        <w:t>Acceptance evidence: Future-state sequence, field and event map, permission model, failure table, and acceptance cases.</w:t>
      </w:r>
    </w:p>
    <w:p>
      <w:pPr>
        <w:keepNext/>
        <w:spacing w:before="200" w:after="120" w:line="269" w:lineRule="auto"/>
      </w:pPr>
      <w:r>
        <w:rPr>
          <w:rFonts w:ascii="Arial" w:hAnsi="Arial"/>
          <w:b/>
          <w:color w:val="9B792B"/>
          <w:sz w:val="24"/>
        </w:rPr>
        <w:t>03  Configure in stages</w:t>
      </w:r>
    </w:p>
    <w:p>
      <w:pPr>
        <w:keepNext w:val="0"/>
        <w:spacing w:before="0" w:after="80" w:line="269" w:lineRule="auto"/>
      </w:pPr>
      <w:r>
        <w:rPr>
          <w:rFonts w:ascii="Arial" w:hAnsi="Arial"/>
          <w:b w:val="0"/>
          <w:color w:val="181818"/>
          <w:sz w:val="20"/>
        </w:rPr>
        <w:t>Build in a controlled environment, protect credentials, constrain privileges, enable logs, and release workflows in observable increments.</w:t>
      </w:r>
    </w:p>
    <w:p>
      <w:pPr>
        <w:keepNext w:val="0"/>
        <w:spacing w:before="0" w:after="140" w:line="269" w:lineRule="auto"/>
      </w:pPr>
      <w:r>
        <w:rPr>
          <w:rFonts w:ascii="Arial" w:hAnsi="Arial"/>
          <w:b/>
          <w:color w:val="181818"/>
          <w:sz w:val="18"/>
        </w:rPr>
        <w:t>Acceptance evidence: Configuration record, secret-ownership record without secret values, change log, test identities, and rollback plan.</w:t>
      </w:r>
    </w:p>
    <w:p>
      <w:pPr>
        <w:keepNext/>
        <w:spacing w:before="200" w:after="120" w:line="269" w:lineRule="auto"/>
      </w:pPr>
      <w:r>
        <w:rPr>
          <w:rFonts w:ascii="Arial" w:hAnsi="Arial"/>
          <w:b/>
          <w:color w:val="9B792B"/>
          <w:sz w:val="24"/>
        </w:rPr>
        <w:t>04  Prove normal and failed paths</w:t>
      </w:r>
    </w:p>
    <w:p>
      <w:pPr>
        <w:keepNext w:val="0"/>
        <w:spacing w:before="0" w:after="80" w:line="269" w:lineRule="auto"/>
      </w:pPr>
      <w:r>
        <w:rPr>
          <w:rFonts w:ascii="Arial" w:hAnsi="Arial"/>
          <w:b w:val="0"/>
          <w:color w:val="181818"/>
          <w:sz w:val="20"/>
        </w:rPr>
        <w:t>Test success, duplicates, delay, unavailable systems, revoked access, unauthorized actions, retries, recovery, audit lookup, and manual fallback.</w:t>
      </w:r>
    </w:p>
    <w:p>
      <w:pPr>
        <w:keepNext w:val="0"/>
        <w:spacing w:before="0" w:after="140" w:line="269" w:lineRule="auto"/>
      </w:pPr>
      <w:r>
        <w:rPr>
          <w:rFonts w:ascii="Arial" w:hAnsi="Arial"/>
          <w:b/>
          <w:color w:val="181818"/>
          <w:sz w:val="18"/>
        </w:rPr>
        <w:t>Acceptance evidence: Acceptance-case results, correlated event samples, alert evidence, rollback result, and owner runbook.</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Current- and future-state sequence diagrams</w:t>
      </w:r>
    </w:p>
    <w:p>
      <w:pPr>
        <w:keepNext w:val="0"/>
        <w:spacing w:before="0" w:after="100" w:line="269" w:lineRule="auto"/>
        <w:ind w:left="187" w:hanging="187"/>
      </w:pPr>
      <w:r>
        <w:rPr>
          <w:rFonts w:ascii="Arial" w:hAnsi="Arial"/>
          <w:b w:val="0"/>
          <w:color w:val="181818"/>
          <w:sz w:val="20"/>
        </w:rPr>
        <w:t>•  Interface, event, field, and permission mapping</w:t>
      </w:r>
    </w:p>
    <w:p>
      <w:pPr>
        <w:keepNext w:val="0"/>
        <w:spacing w:before="0" w:after="100" w:line="269" w:lineRule="auto"/>
        <w:ind w:left="187" w:hanging="187"/>
      </w:pPr>
      <w:r>
        <w:rPr>
          <w:rFonts w:ascii="Arial" w:hAnsi="Arial"/>
          <w:b w:val="0"/>
          <w:color w:val="181818"/>
          <w:sz w:val="20"/>
        </w:rPr>
        <w:t>•  Failure-mode and rollback plan</w:t>
      </w:r>
    </w:p>
    <w:p>
      <w:pPr>
        <w:keepNext w:val="0"/>
        <w:spacing w:before="0" w:after="100" w:line="269" w:lineRule="auto"/>
        <w:ind w:left="187" w:hanging="187"/>
      </w:pPr>
      <w:r>
        <w:rPr>
          <w:rFonts w:ascii="Arial" w:hAnsi="Arial"/>
          <w:b w:val="0"/>
          <w:color w:val="181818"/>
          <w:sz w:val="20"/>
        </w:rPr>
        <w:t>•  Normal, exception, security, and recovery acceptance results</w:t>
      </w:r>
    </w:p>
    <w:p>
      <w:pPr>
        <w:keepNext w:val="0"/>
        <w:spacing w:before="0" w:after="100" w:line="269" w:lineRule="auto"/>
        <w:ind w:left="187" w:hanging="187"/>
      </w:pPr>
      <w:r>
        <w:rPr>
          <w:rFonts w:ascii="Arial" w:hAnsi="Arial"/>
          <w:b w:val="0"/>
          <w:color w:val="181818"/>
          <w:sz w:val="20"/>
        </w:rPr>
        <w:t>•  Version, ownership, monitoring, and change runbook</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GHT-SVC-022 / SECURITY SYSTEMS INTEGRATION</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System owners, versions, licensing, supported interfaces, and update cadence</w:t>
      </w:r>
    </w:p>
    <w:p>
      <w:pPr>
        <w:keepNext w:val="0"/>
        <w:spacing w:before="0" w:after="100" w:line="269" w:lineRule="auto"/>
        <w:ind w:left="187" w:hanging="187"/>
      </w:pPr>
      <w:r>
        <w:rPr>
          <w:rFonts w:ascii="Arial" w:hAnsi="Arial"/>
          <w:b w:val="0"/>
          <w:color w:val="181818"/>
          <w:sz w:val="20"/>
        </w:rPr>
        <w:t>•  Source-of-record identities, device records, event fields, and retention boundaries</w:t>
      </w:r>
    </w:p>
    <w:p>
      <w:pPr>
        <w:keepNext w:val="0"/>
        <w:spacing w:before="0" w:after="100" w:line="269" w:lineRule="auto"/>
        <w:ind w:left="187" w:hanging="187"/>
      </w:pPr>
      <w:r>
        <w:rPr>
          <w:rFonts w:ascii="Arial" w:hAnsi="Arial"/>
          <w:b w:val="0"/>
          <w:color w:val="181818"/>
          <w:sz w:val="20"/>
        </w:rPr>
        <w:t>•  Trigger, action, approval, timing, retry, and duplicate behavior</w:t>
      </w:r>
    </w:p>
    <w:p>
      <w:pPr>
        <w:keepNext w:val="0"/>
        <w:spacing w:before="0" w:after="100" w:line="269" w:lineRule="auto"/>
        <w:ind w:left="187" w:hanging="187"/>
      </w:pPr>
      <w:r>
        <w:rPr>
          <w:rFonts w:ascii="Arial" w:hAnsi="Arial"/>
          <w:b w:val="0"/>
          <w:color w:val="181818"/>
          <w:sz w:val="20"/>
        </w:rPr>
        <w:t>•  Service accounts, permissions, credential ownership, and audit requirements</w:t>
      </w:r>
    </w:p>
    <w:p>
      <w:pPr>
        <w:keepNext w:val="0"/>
        <w:spacing w:before="0" w:after="100" w:line="269" w:lineRule="auto"/>
        <w:ind w:left="187" w:hanging="187"/>
      </w:pPr>
      <w:r>
        <w:rPr>
          <w:rFonts w:ascii="Arial" w:hAnsi="Arial"/>
          <w:b w:val="0"/>
          <w:color w:val="181818"/>
          <w:sz w:val="20"/>
        </w:rPr>
        <w:t>•  Failure notification, manual fallback, maintenance window, and rollback process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An integration is limited by documented vendor interfaces, licensing, versions, rate limits, and support policy</w:t>
      </w:r>
    </w:p>
    <w:p>
      <w:pPr>
        <w:keepNext w:val="0"/>
        <w:spacing w:before="0" w:after="100" w:line="269" w:lineRule="auto"/>
        <w:ind w:left="187" w:hanging="187"/>
      </w:pPr>
      <w:r>
        <w:rPr>
          <w:rFonts w:ascii="Arial" w:hAnsi="Arial"/>
          <w:b w:val="0"/>
          <w:color w:val="181818"/>
          <w:sz w:val="20"/>
        </w:rPr>
        <w:t>•  Cross-system commands can amplify a bad identity, rule, or compromised account</w:t>
      </w:r>
    </w:p>
    <w:p>
      <w:pPr>
        <w:keepNext w:val="0"/>
        <w:spacing w:before="0" w:after="100" w:line="269" w:lineRule="auto"/>
        <w:ind w:left="187" w:hanging="187"/>
      </w:pPr>
      <w:r>
        <w:rPr>
          <w:rFonts w:ascii="Arial" w:hAnsi="Arial"/>
          <w:b w:val="0"/>
          <w:color w:val="181818"/>
          <w:sz w:val="20"/>
        </w:rPr>
        <w:t>•  Biometric, video, visitor, and identity data can carry privacy and retention obligations</w:t>
      </w:r>
    </w:p>
    <w:p>
      <w:pPr>
        <w:keepNext w:val="0"/>
        <w:spacing w:before="0" w:after="100" w:line="269" w:lineRule="auto"/>
        <w:ind w:left="187" w:hanging="187"/>
      </w:pPr>
      <w:r>
        <w:rPr>
          <w:rFonts w:ascii="Arial" w:hAnsi="Arial"/>
          <w:b w:val="0"/>
          <w:color w:val="181818"/>
          <w:sz w:val="20"/>
        </w:rPr>
        <w:t>•  Upgrades to either platform can require regression testing or connector changes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ONVIF — Profiles overview</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Security Industry Association — At-a-Glance Guide to SIA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National Institute of Standards and Technology — SP 800-207: Zero Trust Architecture</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onvif.org/profiles/" TargetMode="External"/><Relationship Id="rId13" Type="http://schemas.openxmlformats.org/officeDocument/2006/relationships/hyperlink" Target="https://www.securityindustry.org/industry-standards/at-a-glance-guide-to-sia-standards/" TargetMode="External"/><Relationship Id="rId14" Type="http://schemas.openxmlformats.org/officeDocument/2006/relationships/hyperlink" Target="https://csrc.nist.gov/pubs/sp/800/207/final" TargetMode="External"/><Relationship Id="rId15" Type="http://schemas.openxmlformats.org/officeDocument/2006/relationships/hyperlink" Target="https://ght.network/services/physical-security/security-integr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systems integration — Service specification</dc:title>
  <dc:subject>Supported APIs and standards can correlate video, access, intrusion, intercom, visitor, and identity events.</dc:subject>
  <dc:creator>Glass House Technologies</dc:creator>
  <cp:keywords>Physical security,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