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BUSINESS SYSTEMS</w:t>
      </w:r>
    </w:p>
    <w:p>
      <w:pPr>
        <w:keepNext/>
        <w:spacing w:before="0" w:after="180" w:line="269" w:lineRule="auto"/>
      </w:pPr>
      <w:r>
        <w:rPr>
          <w:rFonts w:ascii="Arial" w:hAnsi="Arial"/>
          <w:b/>
          <w:color w:val="181818"/>
          <w:sz w:val="48"/>
        </w:rPr>
        <w:t>Business server deployment</w:t>
      </w:r>
    </w:p>
    <w:p>
      <w:pPr>
        <w:keepNext w:val="0"/>
        <w:spacing w:before="0" w:after="240" w:line="269" w:lineRule="auto"/>
      </w:pPr>
      <w:r>
        <w:rPr>
          <w:rFonts w:ascii="Arial" w:hAnsi="Arial"/>
          <w:b w:val="0"/>
          <w:color w:val="646464"/>
          <w:sz w:val="17"/>
        </w:rPr>
        <w:t>GHT-SVC-037   •   Revision 1.0   •   06 September 2026   •   1 / 3</w:t>
      </w:r>
    </w:p>
    <w:p>
      <w:pPr>
        <w:keepNext w:val="0"/>
        <w:spacing w:before="0" w:after="180" w:line="269" w:lineRule="auto"/>
      </w:pPr>
      <w:r>
        <w:rPr>
          <w:rFonts w:ascii="Arial" w:hAnsi="Arial"/>
          <w:b w:val="0"/>
          <w:color w:val="181818"/>
          <w:sz w:val="22"/>
        </w:rPr>
        <w:t>Plan, supply, install, configure, and validate the server environment that hosts a customer’s approved business applications and records.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An inventoried server environment with agreed application access, recorded configuration, tested recovery, and an identified support owner.</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The service covers workload discovery, a configuration-specific equipment schedule, physical installation, operating-system or virtualization setup, storage, network integration, administrative access, and the application prerequisites named in the project scope.</w:t>
      </w:r>
    </w:p>
    <w:p>
      <w:pPr>
        <w:keepNext w:val="0"/>
        <w:spacing w:before="0" w:after="120" w:line="269" w:lineRule="auto"/>
      </w:pPr>
      <w:r>
        <w:rPr>
          <w:rFonts w:ascii="Arial" w:hAnsi="Arial"/>
          <w:b w:val="0"/>
          <w:color w:val="181818"/>
          <w:sz w:val="20"/>
        </w:rPr>
        <w:t>A grocery inventory application or a shared office system may use a tower server, rack server, hosted environment, or a combined design. Capacity, supported operating systems, power, storage resilience, licensing, and recovery requirements determine the selection.</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Applications</w:t>
            </w:r>
          </w:p>
        </w:tc>
        <w:tc>
          <w:tcPr>
            <w:tcW w:type="dxa" w:w="7200"/>
            <w:shd w:fill="F4F1E9"/>
          </w:tcPr>
          <w:p>
            <w:pPr>
              <w:spacing w:before="100" w:after="100"/>
            </w:pPr>
            <w:r>
              <w:rPr>
                <w:rFonts w:ascii="Arial" w:hAnsi="Arial"/>
                <w:sz w:val="18"/>
              </w:rPr>
              <w:t>Named inventory, office, or operational workloads and supported software versions</w:t>
            </w:r>
          </w:p>
        </w:tc>
      </w:tr>
      <w:tr>
        <w:tc>
          <w:tcPr>
            <w:tcW w:type="dxa" w:w="2160"/>
            <w:shd w:fill="FFFFFF"/>
          </w:tcPr>
          <w:p>
            <w:pPr>
              <w:spacing w:before="100" w:after="100"/>
            </w:pPr>
            <w:r>
              <w:rPr>
                <w:rFonts w:ascii="Arial" w:hAnsi="Arial"/>
                <w:b/>
                <w:sz w:val="18"/>
              </w:rPr>
              <w:t>02  Compute and storage</w:t>
            </w:r>
          </w:p>
        </w:tc>
        <w:tc>
          <w:tcPr>
            <w:tcW w:type="dxa" w:w="7200"/>
            <w:shd w:fill="FFFFFF"/>
          </w:tcPr>
          <w:p>
            <w:pPr>
              <w:spacing w:before="100" w:after="100"/>
            </w:pPr>
            <w:r>
              <w:rPr>
                <w:rFonts w:ascii="Arial" w:hAnsi="Arial"/>
                <w:sz w:val="18"/>
              </w:rPr>
              <w:t>Processor, memory, drives, storage controller, and growth allowance</w:t>
            </w:r>
          </w:p>
        </w:tc>
      </w:tr>
      <w:tr>
        <w:tc>
          <w:tcPr>
            <w:tcW w:type="dxa" w:w="2160"/>
            <w:shd w:fill="F4F1E9"/>
          </w:tcPr>
          <w:p>
            <w:pPr>
              <w:spacing w:before="100" w:after="100"/>
            </w:pPr>
            <w:r>
              <w:rPr>
                <w:rFonts w:ascii="Arial" w:hAnsi="Arial"/>
                <w:b/>
                <w:sz w:val="18"/>
              </w:rPr>
              <w:t>03  Network and power</w:t>
            </w:r>
          </w:p>
        </w:tc>
        <w:tc>
          <w:tcPr>
            <w:tcW w:type="dxa" w:w="7200"/>
            <w:shd w:fill="F4F1E9"/>
          </w:tcPr>
          <w:p>
            <w:pPr>
              <w:spacing w:before="100" w:after="100"/>
            </w:pPr>
            <w:r>
              <w:rPr>
                <w:rFonts w:ascii="Arial" w:hAnsi="Arial"/>
                <w:sz w:val="18"/>
              </w:rPr>
              <w:t>Switch ports, address plan, secure management, rack or room, and UPS</w:t>
            </w:r>
          </w:p>
        </w:tc>
      </w:tr>
      <w:tr>
        <w:tc>
          <w:tcPr>
            <w:tcW w:type="dxa" w:w="2160"/>
            <w:shd w:fill="FFFFFF"/>
          </w:tcPr>
          <w:p>
            <w:pPr>
              <w:spacing w:before="100" w:after="100"/>
            </w:pPr>
            <w:r>
              <w:rPr>
                <w:rFonts w:ascii="Arial" w:hAnsi="Arial"/>
                <w:b/>
                <w:sz w:val="18"/>
              </w:rPr>
              <w:t>04  Operations</w:t>
            </w:r>
          </w:p>
        </w:tc>
        <w:tc>
          <w:tcPr>
            <w:tcW w:type="dxa" w:w="7200"/>
            <w:shd w:fill="FFFFFF"/>
          </w:tcPr>
          <w:p>
            <w:pPr>
              <w:spacing w:before="100" w:after="100"/>
            </w:pPr>
            <w:r>
              <w:rPr>
                <w:rFonts w:ascii="Arial" w:hAnsi="Arial"/>
                <w:sz w:val="18"/>
              </w:rPr>
              <w:t>Backups, restore testing, updates, monitoring, and support ownership</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A new internal application needs a dependable host</w:t>
      </w:r>
    </w:p>
    <w:p>
      <w:pPr>
        <w:keepNext w:val="0"/>
        <w:spacing w:before="0" w:after="100" w:line="269" w:lineRule="auto"/>
        <w:ind w:left="187" w:hanging="187"/>
      </w:pPr>
      <w:r>
        <w:rPr>
          <w:rFonts w:ascii="Arial" w:hAnsi="Arial"/>
          <w:b w:val="0"/>
          <w:color w:val="181818"/>
          <w:sz w:val="20"/>
        </w:rPr>
        <w:t>•  An existing server needs replacement or migration</w:t>
      </w:r>
    </w:p>
    <w:p>
      <w:pPr>
        <w:keepNext w:val="0"/>
        <w:spacing w:before="0" w:after="100" w:line="269" w:lineRule="auto"/>
        <w:ind w:left="187" w:hanging="187"/>
      </w:pPr>
      <w:r>
        <w:rPr>
          <w:rFonts w:ascii="Arial" w:hAnsi="Arial"/>
          <w:b w:val="0"/>
          <w:color w:val="181818"/>
          <w:sz w:val="20"/>
        </w:rPr>
        <w:t>•  Business records and access need a documented operating environment</w:t>
      </w:r>
    </w:p>
    <w:p>
      <w:r>
        <w:br w:type="page"/>
      </w:r>
    </w:p>
    <w:p>
      <w:pPr>
        <w:keepNext/>
        <w:spacing w:before="1200" w:after="160" w:line="269" w:lineRule="auto"/>
      </w:pPr>
      <w:r>
        <w:rPr>
          <w:rFonts w:ascii="Arial" w:hAnsi="Arial"/>
          <w:b/>
          <w:color w:val="9B792B"/>
          <w:sz w:val="18"/>
        </w:rPr>
        <w:t>GHT-SVC-037 / BUSINESS SERVER DEPLOYMENT</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Discover and size</w:t>
      </w:r>
    </w:p>
    <w:p>
      <w:pPr>
        <w:keepNext w:val="0"/>
        <w:spacing w:before="0" w:after="80" w:line="269" w:lineRule="auto"/>
      </w:pPr>
      <w:r>
        <w:rPr>
          <w:rFonts w:ascii="Arial" w:hAnsi="Arial"/>
          <w:b w:val="0"/>
          <w:color w:val="181818"/>
          <w:sz w:val="20"/>
        </w:rPr>
        <w:t>Record workloads, concurrent users, data volume, performance needs, operating-system support, licenses, and recovery objectives.</w:t>
      </w:r>
    </w:p>
    <w:p>
      <w:pPr>
        <w:keepNext w:val="0"/>
        <w:spacing w:before="0" w:after="140" w:line="269" w:lineRule="auto"/>
      </w:pPr>
      <w:r>
        <w:rPr>
          <w:rFonts w:ascii="Arial" w:hAnsi="Arial"/>
          <w:b/>
          <w:color w:val="181818"/>
          <w:sz w:val="18"/>
        </w:rPr>
        <w:t>Acceptance evidence: Customer-approved workload and capacity schedule.</w:t>
      </w:r>
    </w:p>
    <w:p>
      <w:pPr>
        <w:keepNext/>
        <w:spacing w:before="200" w:after="120" w:line="269" w:lineRule="auto"/>
      </w:pPr>
      <w:r>
        <w:rPr>
          <w:rFonts w:ascii="Arial" w:hAnsi="Arial"/>
          <w:b/>
          <w:color w:val="9B792B"/>
          <w:sz w:val="24"/>
        </w:rPr>
        <w:t>02  Prepare and configure</w:t>
      </w:r>
    </w:p>
    <w:p>
      <w:pPr>
        <w:keepNext w:val="0"/>
        <w:spacing w:before="0" w:after="80" w:line="269" w:lineRule="auto"/>
      </w:pPr>
      <w:r>
        <w:rPr>
          <w:rFonts w:ascii="Arial" w:hAnsi="Arial"/>
          <w:b w:val="0"/>
          <w:color w:val="181818"/>
          <w:sz w:val="20"/>
        </w:rPr>
        <w:t>Confirm the equipment configuration and site readiness; install hardware, supported firmware, storage, operating environment, network settings, and role-based administration.</w:t>
      </w:r>
    </w:p>
    <w:p>
      <w:pPr>
        <w:keepNext w:val="0"/>
        <w:spacing w:before="0" w:after="140" w:line="269" w:lineRule="auto"/>
      </w:pPr>
      <w:r>
        <w:rPr>
          <w:rFonts w:ascii="Arial" w:hAnsi="Arial"/>
          <w:b/>
          <w:color w:val="181818"/>
          <w:sz w:val="18"/>
        </w:rPr>
        <w:t>Acceptance evidence: Asset list, firmware and configuration record, and controlled administrator handoff.</w:t>
      </w:r>
    </w:p>
    <w:p>
      <w:pPr>
        <w:keepNext/>
        <w:spacing w:before="200" w:after="120" w:line="269" w:lineRule="auto"/>
      </w:pPr>
      <w:r>
        <w:rPr>
          <w:rFonts w:ascii="Arial" w:hAnsi="Arial"/>
          <w:b/>
          <w:color w:val="9B792B"/>
          <w:sz w:val="24"/>
        </w:rPr>
        <w:t>03  Connect and transition</w:t>
      </w:r>
    </w:p>
    <w:p>
      <w:pPr>
        <w:keepNext w:val="0"/>
        <w:spacing w:before="0" w:after="80" w:line="269" w:lineRule="auto"/>
      </w:pPr>
      <w:r>
        <w:rPr>
          <w:rFonts w:ascii="Arial" w:hAnsi="Arial"/>
          <w:b w:val="0"/>
          <w:color w:val="181818"/>
          <w:sz w:val="20"/>
        </w:rPr>
        <w:t>Install the scoped application prerequisites, test client-device access, and execute an approved migration or cutover with a documented rollback.</w:t>
      </w:r>
    </w:p>
    <w:p>
      <w:pPr>
        <w:keepNext w:val="0"/>
        <w:spacing w:before="0" w:after="140" w:line="269" w:lineRule="auto"/>
      </w:pPr>
      <w:r>
        <w:rPr>
          <w:rFonts w:ascii="Arial" w:hAnsi="Arial"/>
          <w:b/>
          <w:color w:val="181818"/>
          <w:sz w:val="18"/>
        </w:rPr>
        <w:t>Acceptance evidence: Application access tests, migration reconciliation, and cutover record.</w:t>
      </w:r>
    </w:p>
    <w:p>
      <w:pPr>
        <w:keepNext/>
        <w:spacing w:before="200" w:after="120" w:line="269" w:lineRule="auto"/>
      </w:pPr>
      <w:r>
        <w:rPr>
          <w:rFonts w:ascii="Arial" w:hAnsi="Arial"/>
          <w:b/>
          <w:color w:val="9B792B"/>
          <w:sz w:val="24"/>
        </w:rPr>
        <w:t>04  Verify and hand over</w:t>
      </w:r>
    </w:p>
    <w:p>
      <w:pPr>
        <w:keepNext w:val="0"/>
        <w:spacing w:before="0" w:after="80" w:line="269" w:lineRule="auto"/>
      </w:pPr>
      <w:r>
        <w:rPr>
          <w:rFonts w:ascii="Arial" w:hAnsi="Arial"/>
          <w:b w:val="0"/>
          <w:color w:val="181818"/>
          <w:sz w:val="20"/>
        </w:rPr>
        <w:t>Run representative business tasks, confirm monitoring and backup jobs, restore an agreed sample, and review the runbook with the owner.</w:t>
      </w:r>
    </w:p>
    <w:p>
      <w:pPr>
        <w:keepNext w:val="0"/>
        <w:spacing w:before="0" w:after="140" w:line="269" w:lineRule="auto"/>
      </w:pPr>
      <w:r>
        <w:rPr>
          <w:rFonts w:ascii="Arial" w:hAnsi="Arial"/>
          <w:b/>
          <w:color w:val="181818"/>
          <w:sz w:val="18"/>
        </w:rPr>
        <w:t>Acceptance evidence: Accepted task results, restore evidence, operating guide, and exception register.</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Configuration-specific equipment and licensing schedule</w:t>
      </w:r>
    </w:p>
    <w:p>
      <w:pPr>
        <w:keepNext w:val="0"/>
        <w:spacing w:before="0" w:after="100" w:line="269" w:lineRule="auto"/>
        <w:ind w:left="187" w:hanging="187"/>
      </w:pPr>
      <w:r>
        <w:rPr>
          <w:rFonts w:ascii="Arial" w:hAnsi="Arial"/>
          <w:b w:val="0"/>
          <w:color w:val="181818"/>
          <w:sz w:val="20"/>
        </w:rPr>
        <w:t>•  Installed and labeled server with documented network and storage configuration</w:t>
      </w:r>
    </w:p>
    <w:p>
      <w:pPr>
        <w:keepNext w:val="0"/>
        <w:spacing w:before="0" w:after="100" w:line="269" w:lineRule="auto"/>
        <w:ind w:left="187" w:hanging="187"/>
      </w:pPr>
      <w:r>
        <w:rPr>
          <w:rFonts w:ascii="Arial" w:hAnsi="Arial"/>
          <w:b w:val="0"/>
          <w:color w:val="181818"/>
          <w:sz w:val="20"/>
        </w:rPr>
        <w:t>•  Authorized administration and scoped application connectivity</w:t>
      </w:r>
    </w:p>
    <w:p>
      <w:pPr>
        <w:keepNext w:val="0"/>
        <w:spacing w:before="0" w:after="100" w:line="269" w:lineRule="auto"/>
        <w:ind w:left="187" w:hanging="187"/>
      </w:pPr>
      <w:r>
        <w:rPr>
          <w:rFonts w:ascii="Arial" w:hAnsi="Arial"/>
          <w:b w:val="0"/>
          <w:color w:val="181818"/>
          <w:sz w:val="20"/>
        </w:rPr>
        <w:t>•  Recorded backup and sample-restore results</w:t>
      </w:r>
    </w:p>
    <w:p>
      <w:pPr>
        <w:keepNext w:val="0"/>
        <w:spacing w:before="0" w:after="100" w:line="269" w:lineRule="auto"/>
        <w:ind w:left="187" w:hanging="187"/>
      </w:pPr>
      <w:r>
        <w:rPr>
          <w:rFonts w:ascii="Arial" w:hAnsi="Arial"/>
          <w:b w:val="0"/>
          <w:color w:val="181818"/>
          <w:sz w:val="20"/>
        </w:rPr>
        <w:t>•  Operating runbook, support contacts, and cutover or migration record</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GHT-SVC-037 / BUSINESS SERVER DEPLOYMENT</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Applications and vendor-supported platform versions</w:t>
      </w:r>
    </w:p>
    <w:p>
      <w:pPr>
        <w:keepNext w:val="0"/>
        <w:spacing w:before="0" w:after="100" w:line="269" w:lineRule="auto"/>
        <w:ind w:left="187" w:hanging="187"/>
      </w:pPr>
      <w:r>
        <w:rPr>
          <w:rFonts w:ascii="Arial" w:hAnsi="Arial"/>
          <w:b w:val="0"/>
          <w:color w:val="181818"/>
          <w:sz w:val="20"/>
        </w:rPr>
        <w:t>•  User and device counts, data size, growth, and performance targets</w:t>
      </w:r>
    </w:p>
    <w:p>
      <w:pPr>
        <w:keepNext w:val="0"/>
        <w:spacing w:before="0" w:after="100" w:line="269" w:lineRule="auto"/>
        <w:ind w:left="187" w:hanging="187"/>
      </w:pPr>
      <w:r>
        <w:rPr>
          <w:rFonts w:ascii="Arial" w:hAnsi="Arial"/>
          <w:b w:val="0"/>
          <w:color w:val="181818"/>
          <w:sz w:val="20"/>
        </w:rPr>
        <w:t>•  Exact processor, memory, storage, controller, network, rack, and power requirements</w:t>
      </w:r>
    </w:p>
    <w:p>
      <w:pPr>
        <w:keepNext w:val="0"/>
        <w:spacing w:before="0" w:after="100" w:line="269" w:lineRule="auto"/>
        <w:ind w:left="187" w:hanging="187"/>
      </w:pPr>
      <w:r>
        <w:rPr>
          <w:rFonts w:ascii="Arial" w:hAnsi="Arial"/>
          <w:b w:val="0"/>
          <w:color w:val="181818"/>
          <w:sz w:val="20"/>
        </w:rPr>
        <w:t>•  Operating-system, access, virtualization, application, backup, and support licenses</w:t>
      </w:r>
    </w:p>
    <w:p>
      <w:pPr>
        <w:keepNext w:val="0"/>
        <w:spacing w:before="0" w:after="100" w:line="269" w:lineRule="auto"/>
        <w:ind w:left="187" w:hanging="187"/>
      </w:pPr>
      <w:r>
        <w:rPr>
          <w:rFonts w:ascii="Arial" w:hAnsi="Arial"/>
          <w:b w:val="0"/>
          <w:color w:val="181818"/>
          <w:sz w:val="20"/>
        </w:rPr>
        <w:t>•  Approved maintenance window, recovery objectives, and customer acceptance owner</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Lenovo ST50 V3, ST250 V3, and SR250 V3 are configuration families; the approved bill of materials defines the actual system.</w:t>
      </w:r>
    </w:p>
    <w:p>
      <w:pPr>
        <w:keepNext w:val="0"/>
        <w:spacing w:before="0" w:after="100" w:line="269" w:lineRule="auto"/>
        <w:ind w:left="187" w:hanging="187"/>
      </w:pPr>
      <w:r>
        <w:rPr>
          <w:rFonts w:ascii="Arial" w:hAnsi="Arial"/>
          <w:b w:val="0"/>
          <w:color w:val="181818"/>
          <w:sz w:val="20"/>
        </w:rPr>
        <w:t>•  Redundant power, hot-swap storage, operating systems, and licenses are not assumed to be included in a base server.</w:t>
      </w:r>
    </w:p>
    <w:p>
      <w:pPr>
        <w:keepNext w:val="0"/>
        <w:spacing w:before="0" w:after="100" w:line="269" w:lineRule="auto"/>
        <w:ind w:left="187" w:hanging="187"/>
      </w:pPr>
      <w:r>
        <w:rPr>
          <w:rFonts w:ascii="Arial" w:hAnsi="Arial"/>
          <w:b w:val="0"/>
          <w:color w:val="181818"/>
          <w:sz w:val="20"/>
        </w:rPr>
        <w:t>•  Electrical work, room cooling, carrier changes, application development, and data cleanup require explicit scope.</w:t>
      </w:r>
    </w:p>
    <w:p>
      <w:pPr>
        <w:keepNext w:val="0"/>
        <w:spacing w:before="0" w:after="100" w:line="269" w:lineRule="auto"/>
        <w:ind w:left="187" w:hanging="187"/>
      </w:pPr>
      <w:r>
        <w:rPr>
          <w:rFonts w:ascii="Arial" w:hAnsi="Arial"/>
          <w:b w:val="0"/>
          <w:color w:val="181818"/>
          <w:sz w:val="20"/>
        </w:rPr>
        <w:t>•  Availability targets, ongoing monitoring, backup retention, and support response commitments are set in the signed agreement.</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Lenovo — ThinkSystem ST250 V3 product guide</w:t>
        </w:r>
      </w:hyperlink>
      <w:r>
        <w:rPr>
          <w:sz w:val="16"/>
        </w:rPr>
        <w:t xml:space="preserve">  |  Source review: 2026-09-06</w:t>
      </w:r>
    </w:p>
    <w:p>
      <w:pPr>
        <w:keepNext w:val="0"/>
        <w:spacing w:before="0" w:after="140" w:line="269" w:lineRule="auto"/>
      </w:pPr>
      <w:r>
        <w:rPr>
          <w:rFonts w:ascii="Arial" w:hAnsi="Arial"/>
          <w:b w:val="0"/>
          <w:color w:val="181818"/>
          <w:sz w:val="17"/>
        </w:rPr>
      </w:r>
      <w:hyperlink r:id="rId13">
        <w:r>
          <w:rPr>
            <w:color w:val="9B792B"/>
          </w:rPr>
          <w:t>Microsoft — Install Windows Server</w:t>
        </w:r>
      </w:hyperlink>
      <w:r>
        <w:rPr>
          <w:sz w:val="16"/>
        </w:rPr>
        <w:t xml:space="preserve">  |  Source review: 2026-09-06</w:t>
      </w:r>
    </w:p>
    <w:p>
      <w:pPr>
        <w:keepNext w:val="0"/>
        <w:spacing w:before="0" w:after="140" w:line="269" w:lineRule="auto"/>
      </w:pPr>
      <w:r>
        <w:rPr>
          <w:rFonts w:ascii="Arial" w:hAnsi="Arial"/>
          <w:b w:val="0"/>
          <w:color w:val="181818"/>
          <w:sz w:val="17"/>
        </w:rPr>
      </w:r>
      <w:hyperlink r:id="rId14">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lenovopress.lenovo.com/lp1803-thinksystem-st250-v3-server" TargetMode="External"/><Relationship Id="rId13" Type="http://schemas.openxmlformats.org/officeDocument/2006/relationships/hyperlink" Target="https://learn.microsoft.com/en-us/windows-server/get-started/install-windows-server" TargetMode="External"/><Relationship Id="rId14" Type="http://schemas.openxmlformats.org/officeDocument/2006/relationships/hyperlink" Target="https://ght.network/business-solu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server deployment — Service specification</dc:title>
  <dc:subject>Plan, supply, install, configure, and validate the server environment that hosts a customer’s approved business applications and records.</dc:subject>
  <dc:creator>Glass House Technologies</dc:creator>
  <cp:keywords>Business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