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keepNext/>
        <w:spacing w:before="1200" w:after="160" w:line="269" w:lineRule="auto"/>
      </w:pPr>
      <w:r>
        <w:rPr>
          <w:rFonts w:ascii="Arial" w:hAnsi="Arial"/>
          <w:b/>
          <w:color w:val="9B792B"/>
          <w:sz w:val="18"/>
        </w:rPr>
        <w:t>SERVICE SPECIFICATION / PHYSICAL INFRASTRUCTURE</w:t>
      </w:r>
    </w:p>
    <w:p>
      <w:pPr>
        <w:keepNext/>
        <w:spacing w:before="0" w:after="180" w:line="269" w:lineRule="auto"/>
      </w:pPr>
      <w:r>
        <w:rPr>
          <w:rFonts w:ascii="Arial" w:hAnsi="Arial"/>
          <w:b/>
          <w:color w:val="181818"/>
          <w:sz w:val="48"/>
        </w:rPr>
        <w:t>Telecommunications rooms, racks, grounding and power</w:t>
      </w:r>
    </w:p>
    <w:p>
      <w:pPr>
        <w:keepNext w:val="0"/>
        <w:spacing w:before="0" w:after="240" w:line="269" w:lineRule="auto"/>
      </w:pPr>
      <w:r>
        <w:rPr>
          <w:rFonts w:ascii="Arial" w:hAnsi="Arial"/>
          <w:b w:val="0"/>
          <w:color w:val="646464"/>
          <w:sz w:val="17"/>
        </w:rPr>
        <w:t>GHT-SVC-003   •   Revision 1.0   •   06 September 2026   •   1 / 3</w:t>
      </w:r>
    </w:p>
    <w:p>
      <w:pPr>
        <w:keepNext w:val="0"/>
        <w:spacing w:before="0" w:after="180" w:line="269" w:lineRule="auto"/>
      </w:pPr>
      <w:r>
        <w:rPr>
          <w:rFonts w:ascii="Arial" w:hAnsi="Arial"/>
          <w:b w:val="0"/>
          <w:color w:val="181818"/>
          <w:sz w:val="22"/>
        </w:rPr>
        <w:t>Racks, patching, network equipment, power, bonding, cooling, pathways, labels, and access, brought into one maintainable space.</w:t>
      </w:r>
    </w:p>
    <w:p>
      <w:pPr>
        <w:keepNext/>
        <w:spacing w:before="200" w:after="120" w:line="269" w:lineRule="auto"/>
      </w:pPr>
      <w:r>
        <w:rPr>
          <w:rFonts w:ascii="Arial" w:hAnsi="Arial"/>
          <w:b/>
          <w:color w:val="9B792B"/>
          <w:sz w:val="24"/>
        </w:rPr>
        <w:t>Intended outcome</w:t>
      </w:r>
    </w:p>
    <w:p>
      <w:pPr>
        <w:keepNext w:val="0"/>
        <w:spacing w:before="0" w:after="140" w:line="269" w:lineRule="auto"/>
      </w:pPr>
      <w:r>
        <w:rPr>
          <w:rFonts w:ascii="Arial" w:hAnsi="Arial"/>
          <w:b/>
          <w:color w:val="181818"/>
          <w:sz w:val="22"/>
        </w:rPr>
        <w:t>An organized room with usable rack space, traceable patching, verified power loads, and recorded electrical, cooling, and access dependencies.</w:t>
      </w:r>
    </w:p>
    <w:p>
      <w:pPr>
        <w:keepNext/>
        <w:spacing w:before="200" w:after="120" w:line="269" w:lineRule="auto"/>
      </w:pPr>
      <w:r>
        <w:rPr>
          <w:rFonts w:ascii="Arial" w:hAnsi="Arial"/>
          <w:b/>
          <w:color w:val="9B792B"/>
          <w:sz w:val="24"/>
        </w:rPr>
        <w:t>Service scope</w:t>
      </w:r>
    </w:p>
    <w:p>
      <w:pPr>
        <w:keepNext w:val="0"/>
        <w:spacing w:before="0" w:after="120" w:line="269" w:lineRule="auto"/>
      </w:pPr>
      <w:r>
        <w:rPr>
          <w:rFonts w:ascii="Arial" w:hAnsi="Arial"/>
          <w:b w:val="0"/>
          <w:color w:val="181818"/>
          <w:sz w:val="20"/>
        </w:rPr>
        <w:t>The telecommunications room is an infrastructure space, not simply a place to hang a switch. Its size, access, pathways, rack layout, bonding, dedicated power and cooling conditions affect every served link.</w:t>
      </w:r>
    </w:p>
    <w:p>
      <w:pPr>
        <w:keepNext w:val="0"/>
        <w:spacing w:before="0" w:after="120" w:line="269" w:lineRule="auto"/>
      </w:pPr>
      <w:r>
        <w:rPr>
          <w:rFonts w:ascii="Arial" w:hAnsi="Arial"/>
          <w:b w:val="0"/>
          <w:color w:val="181818"/>
          <w:sz w:val="20"/>
        </w:rPr>
        <w:t>Electrical, mechanical, architectural and technology responsibilities overlap in this space. The technology design should state dependencies without assuming GHT owns work that belongs to a licensed or owner-designated trade.</w:t>
      </w:r>
    </w:p>
    <w:p>
      <w:pPr>
        <w:keepNext/>
        <w:spacing w:before="200" w:after="120" w:line="269" w:lineRule="auto"/>
      </w:pPr>
      <w:r>
        <w:rPr>
          <w:rFonts w:ascii="Arial" w:hAnsi="Arial"/>
          <w:b/>
          <w:color w:val="9B792B"/>
          <w:sz w:val="24"/>
        </w:rPr>
        <w:t>How the system fits together</w:t>
      </w:r>
    </w:p>
    <w:tbl>
      <w:tblPr>
        <w:tblW w:type="auto" w:w="0"/>
        <w:tblLayout w:type="fixed"/>
        <w:tblLook w:firstColumn="1" w:firstRow="1" w:lastColumn="0" w:lastRow="0" w:noHBand="0" w:noVBand="1" w:val="04A0"/>
      </w:tblPr>
      <w:tblGrid>
        <w:gridCol w:w="2160"/>
        <w:gridCol w:w="7200"/>
      </w:tblGrid>
      <w:tr>
        <w:tc>
          <w:tcPr>
            <w:tcW w:type="dxa" w:w="2160"/>
            <w:shd w:fill="F4F1E9"/>
          </w:tcPr>
          <w:p>
            <w:pPr>
              <w:spacing w:before="100" w:after="100"/>
            </w:pPr>
            <w:r>
              <w:rPr>
                <w:rFonts w:ascii="Arial" w:hAnsi="Arial"/>
                <w:b/>
                <w:sz w:val="18"/>
              </w:rPr>
              <w:t>01  Entrance/pathways</w:t>
            </w:r>
          </w:p>
        </w:tc>
        <w:tc>
          <w:tcPr>
            <w:tcW w:type="dxa" w:w="7200"/>
            <w:shd w:fill="F4F1E9"/>
          </w:tcPr>
          <w:p>
            <w:pPr>
              <w:spacing w:before="100" w:after="100"/>
            </w:pPr>
            <w:r>
              <w:rPr>
                <w:rFonts w:ascii="Arial" w:hAnsi="Arial"/>
                <w:sz w:val="18"/>
              </w:rPr>
              <w:t>Protected cable entry with serviceable transitions</w:t>
            </w:r>
          </w:p>
        </w:tc>
      </w:tr>
      <w:tr>
        <w:tc>
          <w:tcPr>
            <w:tcW w:type="dxa" w:w="2160"/>
            <w:shd w:fill="FFFFFF"/>
          </w:tcPr>
          <w:p>
            <w:pPr>
              <w:spacing w:before="100" w:after="100"/>
            </w:pPr>
            <w:r>
              <w:rPr>
                <w:rFonts w:ascii="Arial" w:hAnsi="Arial"/>
                <w:b/>
                <w:sz w:val="18"/>
              </w:rPr>
              <w:t>02  Passive layer</w:t>
            </w:r>
          </w:p>
        </w:tc>
        <w:tc>
          <w:tcPr>
            <w:tcW w:type="dxa" w:w="7200"/>
            <w:shd w:fill="FFFFFF"/>
          </w:tcPr>
          <w:p>
            <w:pPr>
              <w:spacing w:before="100" w:after="100"/>
            </w:pPr>
            <w:r>
              <w:rPr>
                <w:rFonts w:ascii="Arial" w:hAnsi="Arial"/>
                <w:sz w:val="18"/>
              </w:rPr>
              <w:t>Patch panels, enclosures and cable management</w:t>
            </w:r>
          </w:p>
        </w:tc>
      </w:tr>
      <w:tr>
        <w:tc>
          <w:tcPr>
            <w:tcW w:type="dxa" w:w="2160"/>
            <w:shd w:fill="F4F1E9"/>
          </w:tcPr>
          <w:p>
            <w:pPr>
              <w:spacing w:before="100" w:after="100"/>
            </w:pPr>
            <w:r>
              <w:rPr>
                <w:rFonts w:ascii="Arial" w:hAnsi="Arial"/>
                <w:b/>
                <w:sz w:val="18"/>
              </w:rPr>
              <w:t>03  Active layer</w:t>
            </w:r>
          </w:p>
        </w:tc>
        <w:tc>
          <w:tcPr>
            <w:tcW w:type="dxa" w:w="7200"/>
            <w:shd w:fill="F4F1E9"/>
          </w:tcPr>
          <w:p>
            <w:pPr>
              <w:spacing w:before="100" w:after="100"/>
            </w:pPr>
            <w:r>
              <w:rPr>
                <w:rFonts w:ascii="Arial" w:hAnsi="Arial"/>
                <w:sz w:val="18"/>
              </w:rPr>
              <w:t>Gateways, switches, controllers and uplinks</w:t>
            </w:r>
          </w:p>
        </w:tc>
      </w:tr>
      <w:tr>
        <w:tc>
          <w:tcPr>
            <w:tcW w:type="dxa" w:w="2160"/>
            <w:shd w:fill="FFFFFF"/>
          </w:tcPr>
          <w:p>
            <w:pPr>
              <w:spacing w:before="100" w:after="100"/>
            </w:pPr>
            <w:r>
              <w:rPr>
                <w:rFonts w:ascii="Arial" w:hAnsi="Arial"/>
                <w:b/>
                <w:sz w:val="18"/>
              </w:rPr>
              <w:t>04  Facility support</w:t>
            </w:r>
          </w:p>
        </w:tc>
        <w:tc>
          <w:tcPr>
            <w:tcW w:type="dxa" w:w="7200"/>
            <w:shd w:fill="FFFFFF"/>
          </w:tcPr>
          <w:p>
            <w:pPr>
              <w:spacing w:before="100" w:after="100"/>
            </w:pPr>
            <w:r>
              <w:rPr>
                <w:rFonts w:ascii="Arial" w:hAnsi="Arial"/>
                <w:sz w:val="18"/>
              </w:rPr>
              <w:t>Power, bonding, environment, access and monitoring dependencies</w:t>
            </w:r>
          </w:p>
        </w:tc>
      </w:tr>
    </w:tbl>
    <w:p>
      <w:pPr>
        <w:keepNext/>
        <w:spacing w:before="200" w:after="120" w:line="269" w:lineRule="auto"/>
      </w:pPr>
      <w:r>
        <w:rPr>
          <w:rFonts w:ascii="Arial" w:hAnsi="Arial"/>
          <w:b/>
          <w:color w:val="9B792B"/>
          <w:sz w:val="24"/>
        </w:rPr>
        <w:t>Typical project triggers</w:t>
      </w:r>
    </w:p>
    <w:p>
      <w:pPr>
        <w:keepNext w:val="0"/>
        <w:spacing w:before="0" w:after="100" w:line="269" w:lineRule="auto"/>
        <w:ind w:left="187" w:hanging="187"/>
      </w:pPr>
      <w:r>
        <w:rPr>
          <w:rFonts w:ascii="Arial" w:hAnsi="Arial"/>
          <w:b w:val="0"/>
          <w:color w:val="181818"/>
          <w:sz w:val="20"/>
        </w:rPr>
        <w:t>•  Equipment is stacked, unsupported or blocked</w:t>
      </w:r>
    </w:p>
    <w:p>
      <w:pPr>
        <w:keepNext w:val="0"/>
        <w:spacing w:before="0" w:after="100" w:line="269" w:lineRule="auto"/>
        <w:ind w:left="187" w:hanging="187"/>
      </w:pPr>
      <w:r>
        <w:rPr>
          <w:rFonts w:ascii="Arial" w:hAnsi="Arial"/>
          <w:b w:val="0"/>
          <w:color w:val="181818"/>
          <w:sz w:val="20"/>
        </w:rPr>
        <w:t>•  Patch cables cannot be traced or panels are unlabeled</w:t>
      </w:r>
    </w:p>
    <w:p>
      <w:pPr>
        <w:keepNext w:val="0"/>
        <w:spacing w:before="0" w:after="100" w:line="269" w:lineRule="auto"/>
        <w:ind w:left="187" w:hanging="187"/>
      </w:pPr>
      <w:r>
        <w:rPr>
          <w:rFonts w:ascii="Arial" w:hAnsi="Arial"/>
          <w:b w:val="0"/>
          <w:color w:val="181818"/>
          <w:sz w:val="20"/>
        </w:rPr>
        <w:t>•  UPS load, runtime or receptacle ownership is unknown</w:t>
      </w:r>
    </w:p>
    <w:p>
      <w:pPr>
        <w:keepNext w:val="0"/>
        <w:spacing w:before="0" w:after="100" w:line="269" w:lineRule="auto"/>
        <w:ind w:left="187" w:hanging="187"/>
      </w:pPr>
      <w:r>
        <w:rPr>
          <w:rFonts w:ascii="Arial" w:hAnsi="Arial"/>
          <w:b w:val="0"/>
          <w:color w:val="181818"/>
          <w:sz w:val="20"/>
        </w:rPr>
        <w:t>•  Heat, dust, water or shared storage threatens equipment</w:t>
      </w:r>
    </w:p>
    <w:p>
      <w:r>
        <w:br w:type="page"/>
      </w:r>
    </w:p>
    <w:p>
      <w:pPr>
        <w:keepNext/>
        <w:spacing w:before="1200" w:after="160" w:line="269" w:lineRule="auto"/>
      </w:pPr>
      <w:r>
        <w:rPr>
          <w:rFonts w:ascii="Arial" w:hAnsi="Arial"/>
          <w:b/>
          <w:color w:val="9B792B"/>
          <w:sz w:val="18"/>
        </w:rPr>
        <w:t>GHT-SVC-003 / TELECOMMUNICATIONS ROOMS, RACKS, GROUNDING AND POWER</w:t>
      </w:r>
    </w:p>
    <w:p>
      <w:pPr>
        <w:keepNext/>
        <w:spacing w:before="0" w:after="180" w:line="269" w:lineRule="auto"/>
      </w:pPr>
      <w:r>
        <w:rPr>
          <w:rFonts w:ascii="Arial" w:hAnsi="Arial"/>
          <w:b/>
          <w:color w:val="181818"/>
          <w:sz w:val="42"/>
        </w:rPr>
        <w:t>Delivery and acceptance</w:t>
      </w:r>
    </w:p>
    <w:p>
      <w:pPr>
        <w:keepNext w:val="0"/>
        <w:spacing w:before="0" w:after="180" w:line="269" w:lineRule="auto"/>
      </w:pPr>
      <w:r>
        <w:rPr>
          <w:rFonts w:ascii="Arial" w:hAnsi="Arial"/>
          <w:b w:val="0"/>
          <w:color w:val="646464"/>
          <w:sz w:val="17"/>
        </w:rPr>
        <w:t>Revision 1.0   •   06 September 2026   •   2 / 3</w:t>
      </w:r>
    </w:p>
    <w:p>
      <w:pPr>
        <w:keepNext w:val="0"/>
        <w:spacing w:before="0" w:after="140" w:line="269" w:lineRule="auto"/>
      </w:pPr>
      <w:r>
        <w:rPr>
          <w:rFonts w:ascii="Arial" w:hAnsi="Arial"/>
          <w:b w:val="0"/>
          <w:color w:val="181818"/>
          <w:sz w:val="20"/>
        </w:rPr>
        <w:t>The final project scope identifies quantities, locations, dependencies, and the evidence required at each delivery stage.</w:t>
      </w:r>
    </w:p>
    <w:p>
      <w:pPr>
        <w:keepNext/>
        <w:spacing w:before="200" w:after="120" w:line="269" w:lineRule="auto"/>
      </w:pPr>
      <w:r>
        <w:rPr>
          <w:rFonts w:ascii="Arial" w:hAnsi="Arial"/>
          <w:b/>
          <w:color w:val="9B792B"/>
          <w:sz w:val="24"/>
        </w:rPr>
        <w:t>01  Room audit</w:t>
      </w:r>
    </w:p>
    <w:p>
      <w:pPr>
        <w:keepNext w:val="0"/>
        <w:spacing w:before="0" w:after="80" w:line="269" w:lineRule="auto"/>
      </w:pPr>
      <w:r>
        <w:rPr>
          <w:rFonts w:ascii="Arial" w:hAnsi="Arial"/>
          <w:b w:val="0"/>
          <w:color w:val="181818"/>
          <w:sz w:val="20"/>
        </w:rPr>
        <w:t>Inventory racks, panels, equipment, power, bonding, pathways, environment and access.</w:t>
      </w:r>
    </w:p>
    <w:p>
      <w:pPr>
        <w:keepNext w:val="0"/>
        <w:spacing w:before="0" w:after="140" w:line="269" w:lineRule="auto"/>
      </w:pPr>
      <w:r>
        <w:rPr>
          <w:rFonts w:ascii="Arial" w:hAnsi="Arial"/>
          <w:b/>
          <w:color w:val="181818"/>
          <w:sz w:val="18"/>
        </w:rPr>
        <w:t>Acceptance evidence: Room elevation, asset list and condition photos</w:t>
      </w:r>
    </w:p>
    <w:p>
      <w:pPr>
        <w:keepNext/>
        <w:spacing w:before="200" w:after="120" w:line="269" w:lineRule="auto"/>
      </w:pPr>
      <w:r>
        <w:rPr>
          <w:rFonts w:ascii="Arial" w:hAnsi="Arial"/>
          <w:b/>
          <w:color w:val="9B792B"/>
          <w:sz w:val="24"/>
        </w:rPr>
        <w:t>02  Layout</w:t>
      </w:r>
    </w:p>
    <w:p>
      <w:pPr>
        <w:keepNext w:val="0"/>
        <w:spacing w:before="0" w:after="80" w:line="269" w:lineRule="auto"/>
      </w:pPr>
      <w:r>
        <w:rPr>
          <w:rFonts w:ascii="Arial" w:hAnsi="Arial"/>
          <w:b w:val="0"/>
          <w:color w:val="181818"/>
          <w:sz w:val="20"/>
        </w:rPr>
        <w:t>Assign rack units, cable management, service clearances, patching and growth space.</w:t>
      </w:r>
    </w:p>
    <w:p>
      <w:pPr>
        <w:keepNext w:val="0"/>
        <w:spacing w:before="0" w:after="140" w:line="269" w:lineRule="auto"/>
      </w:pPr>
      <w:r>
        <w:rPr>
          <w:rFonts w:ascii="Arial" w:hAnsi="Arial"/>
          <w:b/>
          <w:color w:val="181818"/>
          <w:sz w:val="18"/>
        </w:rPr>
        <w:t>Acceptance evidence: Rack elevation and port/capacity plan</w:t>
      </w:r>
    </w:p>
    <w:p>
      <w:pPr>
        <w:keepNext/>
        <w:spacing w:before="200" w:after="120" w:line="269" w:lineRule="auto"/>
      </w:pPr>
      <w:r>
        <w:rPr>
          <w:rFonts w:ascii="Arial" w:hAnsi="Arial"/>
          <w:b/>
          <w:color w:val="9B792B"/>
          <w:sz w:val="24"/>
        </w:rPr>
        <w:t>03  Coordinate dependencies</w:t>
      </w:r>
    </w:p>
    <w:p>
      <w:pPr>
        <w:keepNext w:val="0"/>
        <w:spacing w:before="0" w:after="80" w:line="269" w:lineRule="auto"/>
      </w:pPr>
      <w:r>
        <w:rPr>
          <w:rFonts w:ascii="Arial" w:hAnsi="Arial"/>
          <w:b w:val="0"/>
          <w:color w:val="181818"/>
          <w:sz w:val="20"/>
        </w:rPr>
        <w:t>Identify electrical, bonding, HVAC, structural and security work by responsible trade.</w:t>
      </w:r>
    </w:p>
    <w:p>
      <w:pPr>
        <w:keepNext w:val="0"/>
        <w:spacing w:before="0" w:after="140" w:line="269" w:lineRule="auto"/>
      </w:pPr>
      <w:r>
        <w:rPr>
          <w:rFonts w:ascii="Arial" w:hAnsi="Arial"/>
          <w:b/>
          <w:color w:val="181818"/>
          <w:sz w:val="18"/>
        </w:rPr>
        <w:t>Acceptance evidence: Dependency and responsibility schedule</w:t>
      </w:r>
    </w:p>
    <w:p>
      <w:pPr>
        <w:keepNext/>
        <w:spacing w:before="200" w:after="120" w:line="269" w:lineRule="auto"/>
      </w:pPr>
      <w:r>
        <w:rPr>
          <w:rFonts w:ascii="Arial" w:hAnsi="Arial"/>
          <w:b/>
          <w:color w:val="9B792B"/>
          <w:sz w:val="24"/>
        </w:rPr>
        <w:t>04  Build and hand off</w:t>
      </w:r>
    </w:p>
    <w:p>
      <w:pPr>
        <w:keepNext w:val="0"/>
        <w:spacing w:before="0" w:after="80" w:line="269" w:lineRule="auto"/>
      </w:pPr>
      <w:r>
        <w:rPr>
          <w:rFonts w:ascii="Arial" w:hAnsi="Arial"/>
          <w:b w:val="0"/>
          <w:color w:val="181818"/>
          <w:sz w:val="20"/>
        </w:rPr>
        <w:t>Install, label, patch, verify loads and document the final state.</w:t>
      </w:r>
    </w:p>
    <w:p>
      <w:pPr>
        <w:keepNext w:val="0"/>
        <w:spacing w:before="0" w:after="140" w:line="269" w:lineRule="auto"/>
      </w:pPr>
      <w:r>
        <w:rPr>
          <w:rFonts w:ascii="Arial" w:hAnsi="Arial"/>
          <w:b/>
          <w:color w:val="181818"/>
          <w:sz w:val="18"/>
        </w:rPr>
        <w:t>Acceptance evidence: As-built elevation, labels, load record and closeout photos</w:t>
      </w:r>
    </w:p>
    <w:p>
      <w:pPr>
        <w:keepNext/>
        <w:spacing w:before="200" w:after="120" w:line="269" w:lineRule="auto"/>
      </w:pPr>
      <w:r>
        <w:rPr>
          <w:rFonts w:ascii="Arial" w:hAnsi="Arial"/>
          <w:b/>
          <w:color w:val="9B792B"/>
          <w:sz w:val="24"/>
        </w:rPr>
        <w:t>Handover deliverables</w:t>
      </w:r>
    </w:p>
    <w:p>
      <w:pPr>
        <w:keepNext w:val="0"/>
        <w:spacing w:before="0" w:after="100" w:line="269" w:lineRule="auto"/>
        <w:ind w:left="187" w:hanging="187"/>
      </w:pPr>
      <w:r>
        <w:rPr>
          <w:rFonts w:ascii="Arial" w:hAnsi="Arial"/>
          <w:b w:val="0"/>
          <w:color w:val="181818"/>
          <w:sz w:val="20"/>
        </w:rPr>
        <w:t>•  Room and rack elevation</w:t>
      </w:r>
    </w:p>
    <w:p>
      <w:pPr>
        <w:keepNext w:val="0"/>
        <w:spacing w:before="0" w:after="100" w:line="269" w:lineRule="auto"/>
        <w:ind w:left="187" w:hanging="187"/>
      </w:pPr>
      <w:r>
        <w:rPr>
          <w:rFonts w:ascii="Arial" w:hAnsi="Arial"/>
          <w:b w:val="0"/>
          <w:color w:val="181818"/>
          <w:sz w:val="20"/>
        </w:rPr>
        <w:t>•  Equipment and patch-panel schedule</w:t>
      </w:r>
    </w:p>
    <w:p>
      <w:pPr>
        <w:keepNext w:val="0"/>
        <w:spacing w:before="0" w:after="100" w:line="269" w:lineRule="auto"/>
        <w:ind w:left="187" w:hanging="187"/>
      </w:pPr>
      <w:r>
        <w:rPr>
          <w:rFonts w:ascii="Arial" w:hAnsi="Arial"/>
          <w:b w:val="0"/>
          <w:color w:val="181818"/>
          <w:sz w:val="20"/>
        </w:rPr>
        <w:t>•  Power/load and UPS record</w:t>
      </w:r>
    </w:p>
    <w:p>
      <w:pPr>
        <w:keepNext w:val="0"/>
        <w:spacing w:before="0" w:after="100" w:line="269" w:lineRule="auto"/>
        <w:ind w:left="187" w:hanging="187"/>
      </w:pPr>
      <w:r>
        <w:rPr>
          <w:rFonts w:ascii="Arial" w:hAnsi="Arial"/>
          <w:b w:val="0"/>
          <w:color w:val="181818"/>
          <w:sz w:val="20"/>
        </w:rPr>
        <w:t>•  Dependency and exception register</w:t>
      </w:r>
    </w:p>
    <w:p>
      <w:pPr>
        <w:keepNext w:val="0"/>
        <w:spacing w:before="0" w:after="100" w:line="269" w:lineRule="auto"/>
        <w:ind w:left="187" w:hanging="187"/>
      </w:pPr>
      <w:r>
        <w:rPr>
          <w:rFonts w:ascii="Arial" w:hAnsi="Arial"/>
          <w:b w:val="0"/>
          <w:color w:val="181818"/>
          <w:sz w:val="20"/>
        </w:rPr>
        <w:t>•  As-built photos and labeling map</w:t>
      </w:r>
    </w:p>
    <w:p>
      <w:pPr>
        <w:keepNext w:val="0"/>
        <w:spacing w:before="180" w:after="120" w:line="269" w:lineRule="auto"/>
      </w:pPr>
      <w:r>
        <w:rPr>
          <w:rFonts w:ascii="Arial" w:hAnsi="Arial"/>
          <w:b w:val="0"/>
          <w:color w:val="646464"/>
          <w:sz w:val="18"/>
        </w:rPr>
        <w:t>Closeout: GHT and the customer review the agreed evidence, record unresolved exceptions and owners, and confirm acceptance against the signed project scope.</w:t>
      </w:r>
    </w:p>
    <w:p>
      <w:r>
        <w:br w:type="page"/>
      </w:r>
    </w:p>
    <w:p>
      <w:pPr>
        <w:keepNext/>
        <w:spacing w:before="1200" w:after="160" w:line="269" w:lineRule="auto"/>
      </w:pPr>
      <w:r>
        <w:rPr>
          <w:rFonts w:ascii="Arial" w:hAnsi="Arial"/>
          <w:b/>
          <w:color w:val="9B792B"/>
          <w:sz w:val="18"/>
        </w:rPr>
        <w:t>GHT-SVC-003 / TELECOMMUNICATIONS ROOMS, RACKS, GROUNDING AND POWER</w:t>
      </w:r>
    </w:p>
    <w:p>
      <w:pPr>
        <w:keepNext/>
        <w:spacing w:before="0" w:after="180" w:line="269" w:lineRule="auto"/>
      </w:pPr>
      <w:r>
        <w:rPr>
          <w:rFonts w:ascii="Arial" w:hAnsi="Arial"/>
          <w:b/>
          <w:color w:val="181818"/>
          <w:sz w:val="42"/>
        </w:rPr>
        <w:t>Planning and scope boundaries</w:t>
      </w:r>
    </w:p>
    <w:p>
      <w:pPr>
        <w:keepNext w:val="0"/>
        <w:spacing w:before="0" w:after="140" w:line="269" w:lineRule="auto"/>
      </w:pPr>
      <w:r>
        <w:rPr>
          <w:rFonts w:ascii="Arial" w:hAnsi="Arial"/>
          <w:b w:val="0"/>
          <w:color w:val="646464"/>
          <w:sz w:val="17"/>
        </w:rPr>
        <w:t>Revision 1.0   •   06 September 2026   •   3 / 3</w:t>
      </w:r>
    </w:p>
    <w:p>
      <w:pPr>
        <w:keepNext/>
        <w:spacing w:before="200" w:after="120" w:line="269" w:lineRule="auto"/>
      </w:pPr>
      <w:r>
        <w:rPr>
          <w:rFonts w:ascii="Arial" w:hAnsi="Arial"/>
          <w:b/>
          <w:color w:val="9B792B"/>
          <w:sz w:val="24"/>
        </w:rPr>
        <w:t>Customer and site inputs</w:t>
      </w:r>
    </w:p>
    <w:p>
      <w:pPr>
        <w:keepNext w:val="0"/>
        <w:spacing w:before="0" w:after="100" w:line="269" w:lineRule="auto"/>
        <w:ind w:left="187" w:hanging="187"/>
      </w:pPr>
      <w:r>
        <w:rPr>
          <w:rFonts w:ascii="Arial" w:hAnsi="Arial"/>
          <w:b w:val="0"/>
          <w:color w:val="181818"/>
          <w:sz w:val="20"/>
        </w:rPr>
        <w:t>•  Room dimensions and access clearances</w:t>
      </w:r>
    </w:p>
    <w:p>
      <w:pPr>
        <w:keepNext w:val="0"/>
        <w:spacing w:before="0" w:after="100" w:line="269" w:lineRule="auto"/>
        <w:ind w:left="187" w:hanging="187"/>
      </w:pPr>
      <w:r>
        <w:rPr>
          <w:rFonts w:ascii="Arial" w:hAnsi="Arial"/>
          <w:b w:val="0"/>
          <w:color w:val="181818"/>
          <w:sz w:val="20"/>
        </w:rPr>
        <w:t>•  Equipment list, depth, weight and rack units</w:t>
      </w:r>
    </w:p>
    <w:p>
      <w:pPr>
        <w:keepNext w:val="0"/>
        <w:spacing w:before="0" w:after="100" w:line="269" w:lineRule="auto"/>
        <w:ind w:left="187" w:hanging="187"/>
      </w:pPr>
      <w:r>
        <w:rPr>
          <w:rFonts w:ascii="Arial" w:hAnsi="Arial"/>
          <w:b w:val="0"/>
          <w:color w:val="181818"/>
          <w:sz w:val="20"/>
        </w:rPr>
        <w:t>•  Circuit, receptacle, load and runtime information</w:t>
      </w:r>
    </w:p>
    <w:p>
      <w:pPr>
        <w:keepNext w:val="0"/>
        <w:spacing w:before="0" w:after="100" w:line="269" w:lineRule="auto"/>
        <w:ind w:left="187" w:hanging="187"/>
      </w:pPr>
      <w:r>
        <w:rPr>
          <w:rFonts w:ascii="Arial" w:hAnsi="Arial"/>
          <w:b w:val="0"/>
          <w:color w:val="181818"/>
          <w:sz w:val="20"/>
        </w:rPr>
        <w:t>•  Pathway entry and cable quantities</w:t>
      </w:r>
    </w:p>
    <w:p>
      <w:pPr>
        <w:keepNext w:val="0"/>
        <w:spacing w:before="0" w:after="100" w:line="269" w:lineRule="auto"/>
        <w:ind w:left="187" w:hanging="187"/>
      </w:pPr>
      <w:r>
        <w:rPr>
          <w:rFonts w:ascii="Arial" w:hAnsi="Arial"/>
          <w:b w:val="0"/>
          <w:color w:val="181818"/>
          <w:sz w:val="20"/>
        </w:rPr>
        <w:t>•  Bonding, cooling and access-control responsibility</w:t>
      </w:r>
    </w:p>
    <w:p>
      <w:pPr>
        <w:keepNext/>
        <w:spacing w:before="200" w:after="120" w:line="269" w:lineRule="auto"/>
      </w:pPr>
      <w:r>
        <w:rPr>
          <w:rFonts w:ascii="Arial" w:hAnsi="Arial"/>
          <w:b/>
          <w:color w:val="9B792B"/>
          <w:sz w:val="24"/>
        </w:rPr>
        <w:t>Constraints and coordination</w:t>
      </w:r>
    </w:p>
    <w:p>
      <w:pPr>
        <w:keepNext w:val="0"/>
        <w:spacing w:before="0" w:after="100" w:line="269" w:lineRule="auto"/>
        <w:ind w:left="187" w:hanging="187"/>
      </w:pPr>
      <w:r>
        <w:rPr>
          <w:rFonts w:ascii="Arial" w:hAnsi="Arial"/>
          <w:b w:val="0"/>
          <w:color w:val="181818"/>
          <w:sz w:val="20"/>
        </w:rPr>
        <w:t>•  Working clearance and safe access</w:t>
      </w:r>
    </w:p>
    <w:p>
      <w:pPr>
        <w:keepNext w:val="0"/>
        <w:spacing w:before="0" w:after="100" w:line="269" w:lineRule="auto"/>
        <w:ind w:left="187" w:hanging="187"/>
      </w:pPr>
      <w:r>
        <w:rPr>
          <w:rFonts w:ascii="Arial" w:hAnsi="Arial"/>
          <w:b w:val="0"/>
          <w:color w:val="181818"/>
          <w:sz w:val="20"/>
        </w:rPr>
        <w:t>•  Electrical and bonding work by the appropriate trade</w:t>
      </w:r>
    </w:p>
    <w:p>
      <w:pPr>
        <w:keepNext w:val="0"/>
        <w:spacing w:before="0" w:after="100" w:line="269" w:lineRule="auto"/>
        <w:ind w:left="187" w:hanging="187"/>
      </w:pPr>
      <w:r>
        <w:rPr>
          <w:rFonts w:ascii="Arial" w:hAnsi="Arial"/>
          <w:b w:val="0"/>
          <w:color w:val="181818"/>
          <w:sz w:val="20"/>
        </w:rPr>
        <w:t>•  Thermal load, airflow and environmental exposure</w:t>
      </w:r>
    </w:p>
    <w:p>
      <w:pPr>
        <w:keepNext w:val="0"/>
        <w:spacing w:before="0" w:after="100" w:line="269" w:lineRule="auto"/>
        <w:ind w:left="187" w:hanging="187"/>
      </w:pPr>
      <w:r>
        <w:rPr>
          <w:rFonts w:ascii="Arial" w:hAnsi="Arial"/>
          <w:b w:val="0"/>
          <w:color w:val="181818"/>
          <w:sz w:val="20"/>
        </w:rPr>
        <w:t>•  Rack depth, weight, anchorage and pathway geometry</w:t>
      </w:r>
    </w:p>
    <w:p>
      <w:pPr>
        <w:keepNext/>
        <w:spacing w:before="200" w:after="120" w:line="269" w:lineRule="auto"/>
      </w:pPr>
      <w:r>
        <w:rPr>
          <w:rFonts w:ascii="Arial" w:hAnsi="Arial"/>
          <w:b/>
          <w:color w:val="9B792B"/>
          <w:sz w:val="24"/>
        </w:rPr>
        <w:t>Commercial scope and responsibilities</w:t>
      </w:r>
    </w:p>
    <w:p>
      <w:pPr>
        <w:keepNext w:val="0"/>
        <w:spacing w:before="0" w:after="120" w:line="269" w:lineRule="auto"/>
      </w:pPr>
      <w:r>
        <w:rPr>
          <w:rFonts w:ascii="Arial" w:hAnsi="Arial"/>
          <w:b w:val="0"/>
          <w:color w:val="181818"/>
          <w:sz w:val="18"/>
        </w:rPr>
        <w:t>This specification describes the service framework. The signed statement of work defines included equipment, quantities, software licenses, integrations, access windows, schedule, pricing, warranty, and support coverage. Additional construction, electrical work, recurring subscriptions, and ongoing support require an explicit line item.</w:t>
      </w:r>
    </w:p>
    <w:p>
      <w:pPr>
        <w:keepNext w:val="0"/>
        <w:spacing w:before="0" w:after="120" w:line="269" w:lineRule="auto"/>
      </w:pPr>
      <w:r>
        <w:rPr>
          <w:rFonts w:ascii="Arial" w:hAnsi="Arial"/>
          <w:b w:val="0"/>
          <w:color w:val="181818"/>
          <w:sz w:val="18"/>
        </w:rPr>
        <w:t>The customer appoints an acceptance owner and provides authorized access, required site information, and decisions. GHT records assumptions, coordinates assigned work, and submits changes for agreement before expanding the scope.</w:t>
      </w:r>
    </w:p>
    <w:p>
      <w:pPr>
        <w:keepNext/>
        <w:spacing w:before="200" w:after="120" w:line="269" w:lineRule="auto"/>
      </w:pPr>
      <w:r>
        <w:rPr>
          <w:rFonts w:ascii="Arial" w:hAnsi="Arial"/>
          <w:b/>
          <w:color w:val="9B792B"/>
          <w:sz w:val="24"/>
        </w:rPr>
        <w:t>Technical references</w:t>
      </w:r>
    </w:p>
    <w:p>
      <w:pPr>
        <w:keepNext w:val="0"/>
        <w:spacing w:before="0" w:after="140" w:line="269" w:lineRule="auto"/>
      </w:pPr>
      <w:r>
        <w:rPr>
          <w:rFonts w:ascii="Arial" w:hAnsi="Arial"/>
          <w:b w:val="0"/>
          <w:color w:val="181818"/>
          <w:sz w:val="17"/>
        </w:rPr>
      </w:r>
      <w:hyperlink r:id="rId12">
        <w:r>
          <w:rPr>
            <w:color w:val="9B792B"/>
          </w:rPr>
          <w:t>Telecommunications Industry Association — TIA-569: Telecommunications Pathways and Spaces</w:t>
        </w:r>
      </w:hyperlink>
      <w:r>
        <w:rPr>
          <w:sz w:val="16"/>
        </w:rPr>
        <w:t xml:space="preserve">  |  Source review: 2026-08-20</w:t>
      </w:r>
    </w:p>
    <w:p>
      <w:pPr>
        <w:keepNext w:val="0"/>
        <w:spacing w:before="0" w:after="140" w:line="269" w:lineRule="auto"/>
      </w:pPr>
      <w:r>
        <w:rPr>
          <w:rFonts w:ascii="Arial" w:hAnsi="Arial"/>
          <w:b w:val="0"/>
          <w:color w:val="181818"/>
          <w:sz w:val="17"/>
        </w:rPr>
      </w:r>
      <w:hyperlink r:id="rId13">
        <w:r>
          <w:rPr>
            <w:color w:val="9B792B"/>
          </w:rPr>
          <w:t>Telecommunications Industry Association — TR-42 Telecommunications Cabling Systems</w:t>
        </w:r>
      </w:hyperlink>
      <w:r>
        <w:rPr>
          <w:sz w:val="16"/>
        </w:rPr>
        <w:t xml:space="preserve">  |  Source review: 2026-08-20</w:t>
      </w:r>
    </w:p>
    <w:p>
      <w:pPr>
        <w:keepNext w:val="0"/>
        <w:spacing w:before="0" w:after="140" w:line="269" w:lineRule="auto"/>
      </w:pPr>
      <w:r>
        <w:rPr>
          <w:rFonts w:ascii="Arial" w:hAnsi="Arial"/>
          <w:b w:val="0"/>
          <w:color w:val="181818"/>
          <w:sz w:val="17"/>
        </w:rPr>
      </w:r>
      <w:hyperlink r:id="rId14">
        <w:r>
          <w:rPr>
            <w:color w:val="9B792B"/>
          </w:rPr>
          <w:t>BICSI — Telecommunications Distribution Methods Manual</w:t>
        </w:r>
      </w:hyperlink>
      <w:r>
        <w:rPr>
          <w:sz w:val="16"/>
        </w:rPr>
        <w:t xml:space="preserve">  |  Source review: 2026-08-20</w:t>
      </w:r>
    </w:p>
    <w:p>
      <w:pPr>
        <w:keepNext w:val="0"/>
        <w:spacing w:before="0" w:after="140" w:line="269" w:lineRule="auto"/>
      </w:pPr>
      <w:r>
        <w:rPr>
          <w:rFonts w:ascii="Arial" w:hAnsi="Arial"/>
          <w:b w:val="0"/>
          <w:color w:val="181818"/>
          <w:sz w:val="17"/>
        </w:rPr>
      </w:r>
      <w:hyperlink r:id="rId15">
        <w:r>
          <w:rPr>
            <w:color w:val="9B792B"/>
          </w:rPr>
          <w:t>ASHRAE — Data Center Resources</w:t>
        </w:r>
      </w:hyperlink>
      <w:r>
        <w:rPr>
          <w:sz w:val="16"/>
        </w:rPr>
        <w:t xml:space="preserve">  |  Source review: 2026-08-20</w:t>
      </w:r>
    </w:p>
    <w:p>
      <w:pPr>
        <w:keepNext w:val="0"/>
        <w:spacing w:before="0" w:after="140" w:line="269" w:lineRule="auto"/>
      </w:pPr>
      <w:r>
        <w:rPr>
          <w:rFonts w:ascii="Arial" w:hAnsi="Arial"/>
          <w:b w:val="0"/>
          <w:color w:val="181818"/>
          <w:sz w:val="17"/>
        </w:rPr>
      </w:r>
      <w:hyperlink r:id="rId16">
        <w:r>
          <w:rPr>
            <w:color w:val="9B792B"/>
          </w:rPr>
          <w:t>Service guide and project discussion</w:t>
        </w:r>
      </w:hyperlink>
      <w:r>
        <w:rPr>
          <w:sz w:val="16"/>
        </w:rPr>
        <w:t xml:space="preserve">  |  Source review: 2026-09-06</w:t>
      </w:r>
    </w:p>
    <w:sectPr w:rsidR="00681A4F" w:rsidSect="00034616">
      <w:headerReference w:type="default" r:id="rId8"/>
      <w:footerReference w:type="default" r:id="rId9"/>
      <w:pgSz w:w="12240" w:h="15840"/>
      <w:pgMar w:top="720" w:right="1080" w:bottom="720" w:left="1512" w:header="576" w:footer="504" w:gutter="0"/>
      <w:pgBorders w:offsetFrom="page">
        <w:left w:val="single" w:sz="30" w:space="24" w:color="C9A96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AE819" w14:textId="77777777" w:rsidR="00B235C8" w:rsidRDefault="00B235C8">
      <w:pPr>
        <w:spacing w:after="0" w:line="240" w:lineRule="auto"/>
      </w:pPr>
      <w:r>
        <w:separator/>
      </w:r>
    </w:p>
  </w:endnote>
  <w:endnote w:type="continuationSeparator" w:id="0">
    <w:p w14:paraId="30315FD1" w14:textId="77777777" w:rsidR="00B235C8" w:rsidRDefault="00B23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835CF" w14:textId="77777777" w:rsidR="00681A4F" w:rsidRDefault="00B235C8">
    <w:pPr>
      <w:pStyle w:val="Footer"/>
      <w:tabs>
        <w:tab w:val="right" w:pos="9504"/>
      </w:tabs>
    </w:pPr>
    <w:r>
      <w:rPr>
        <w:color w:val="7D786B"/>
        <w:spacing w:val="32"/>
        <w:sz w:val="12"/>
      </w:rPr>
      <w:t>3077 LEEMAN FERRY RD SW, SUITE A1  ·  HUNTSVILLE, AL 35801</w:t>
    </w:r>
    <w:r>
      <w:rPr>
        <w:color w:val="C9A961"/>
        <w:spacing w:val="32"/>
        <w:sz w:val="12"/>
      </w:rPr>
      <w:tab/>
      <w:t>GHT.NETWORK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39E98" w14:textId="77777777" w:rsidR="00B235C8" w:rsidRDefault="00B235C8">
      <w:pPr>
        <w:spacing w:after="0" w:line="240" w:lineRule="auto"/>
      </w:pPr>
      <w:r>
        <w:separator/>
      </w:r>
    </w:p>
  </w:footnote>
  <w:footnote w:type="continuationSeparator" w:id="0">
    <w:p w14:paraId="6265AA7E" w14:textId="77777777" w:rsidR="00B235C8" w:rsidRDefault="00B235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6121F" w14:textId="77777777" w:rsidR="00681A4F" w:rsidRDefault="00B235C8">
    <w:pPr>
      <w:pStyle w:val="Header"/>
      <w:tabs>
        <w:tab w:val="right" w:pos="9504"/>
      </w:tabs>
      <w:spacing w:after="40"/>
    </w:pPr>
    <w:r>
      <w:rPr>
        <w:noProof/>
      </w:rPr>
      <w:drawing>
        <wp:inline distT="0" distB="0" distL="0" distR="0" wp14:anchorId="540EE956" wp14:editId="5B1A6214">
          <wp:extent cx="644300" cy="3657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k-dark.png"/>
                  <pic:cNvPicPr/>
                </pic:nvPicPr>
                <pic:blipFill>
                  <a:blip r:embed="rId1"/>
                  <a:stretch>
                    <a:fillRect/>
                  </a:stretch>
                </pic:blipFill>
                <pic:spPr>
                  <a:xfrm>
                    <a:off x="0" y="0"/>
                    <a:ext cx="644300" cy="365760"/>
                  </a:xfrm>
                  <a:prstGeom prst="rect">
                    <a:avLst/>
                  </a:prstGeom>
                </pic:spPr>
              </pic:pic>
            </a:graphicData>
          </a:graphic>
        </wp:inline>
      </w:drawing>
    </w:r>
    <w:r>
      <w:rPr>
        <w:b/>
        <w:color w:val="141210"/>
        <w:spacing w:val="60"/>
        <w:sz w:val="20"/>
      </w:rPr>
      <w:t xml:space="preserve">   GLASS HOUSE TECHNOLOGIES</w:t>
    </w:r>
    <w:r>
      <w:rPr>
        <w:b/>
        <w:color w:val="141210"/>
        <w:spacing w:val="28"/>
        <w:sz w:val="12"/>
      </w:rPr>
      <w:tab/>
      <w:t>TECHNOLOGY COMPANY</w:t>
    </w:r>
  </w:p>
  <w:p w14:paraId="6F91F4DE" w14:textId="77777777" w:rsidR="00681A4F" w:rsidRDefault="00B235C8">
    <w:pPr>
      <w:tabs>
        <w:tab w:val="right" w:pos="9504"/>
      </w:tabs>
    </w:pPr>
    <w:r>
      <w:rPr>
        <w:color w:val="C9A961"/>
        <w:spacing w:val="40"/>
        <w:sz w:val="12"/>
      </w:rPr>
      <w:t>INFRASTRUCTURE  ·  SOFTWARE  ·  HARDWARE  ·  ROBOTICS</w:t>
    </w:r>
    <w:r>
      <w:rPr>
        <w:color w:val="7D786B"/>
        <w:spacing w:val="20"/>
        <w:sz w:val="12"/>
      </w:rPr>
      <w:tab/>
      <w:t>GHT.NETWORK  ·  (256) 735-3253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56313682">
    <w:abstractNumId w:val="8"/>
  </w:num>
  <w:num w:numId="2" w16cid:durableId="1702515407">
    <w:abstractNumId w:val="6"/>
  </w:num>
  <w:num w:numId="3" w16cid:durableId="835531263">
    <w:abstractNumId w:val="5"/>
  </w:num>
  <w:num w:numId="4" w16cid:durableId="32392024">
    <w:abstractNumId w:val="4"/>
  </w:num>
  <w:num w:numId="5" w16cid:durableId="1702050768">
    <w:abstractNumId w:val="7"/>
  </w:num>
  <w:num w:numId="6" w16cid:durableId="2060517942">
    <w:abstractNumId w:val="3"/>
  </w:num>
  <w:num w:numId="7" w16cid:durableId="901713311">
    <w:abstractNumId w:val="2"/>
  </w:num>
  <w:num w:numId="8" w16cid:durableId="1176771897">
    <w:abstractNumId w:val="1"/>
  </w:num>
  <w:num w:numId="9" w16cid:durableId="1854831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15A71"/>
    <w:rsid w:val="00034616"/>
    <w:rsid w:val="0006063C"/>
    <w:rsid w:val="0015074B"/>
    <w:rsid w:val="0029639D"/>
    <w:rsid w:val="00326F90"/>
    <w:rsid w:val="00681A4F"/>
    <w:rsid w:val="00AA1D8D"/>
    <w:rsid w:val="00B235C8"/>
    <w:rsid w:val="00B47730"/>
    <w:rsid w:val="00CB0664"/>
    <w:rsid w:val="00E15A71"/>
    <w:rsid w:val="00F4464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74D4D7"/>
  <w14:defaultImageDpi w14:val="300"/>
  <w15:docId w15:val="{8C696F11-9649-4375-94FD-C974394B4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before="0" w:after="120"/>
    </w:pPr>
    <w:rPr>
      <w:rFonts w:ascii="Arial" w:hAnsi="Arial"/>
      <w:color w:val="2B2A27"/>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yperlink" Target="https://tiaonline.org/standard/tia-569/" TargetMode="External"/><Relationship Id="rId13" Type="http://schemas.openxmlformats.org/officeDocument/2006/relationships/hyperlink" Target="https://tiaonline.org/standards/tr-42/" TargetMode="External"/><Relationship Id="rId14" Type="http://schemas.openxmlformats.org/officeDocument/2006/relationships/hyperlink" Target="https://shop.bicsi.org/technical-manuals/distribution-design" TargetMode="External"/><Relationship Id="rId15" Type="http://schemas.openxmlformats.org/officeDocument/2006/relationships/hyperlink" Target="https://www.ashrae.org/technical-resources/bookstore/datacom-series" TargetMode="External"/><Relationship Id="rId16" Type="http://schemas.openxmlformats.org/officeDocument/2006/relationships/hyperlink" Target="https://ght.network/services/physical-infrastructure/telecom-room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nno\OneDrive\Documents\ChatGPT\OnlyTechs\client\public\brand-docs\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Template>
  <TotalTime>0</TotalTime>
  <Pages>1</Pages>
  <Words>16</Words>
  <Characters>94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Telecommunications rooms, racks, grounding and power — Service specification</dc:title>
  <dc:subject>Racks, patching, network equipment, power, bonding, cooling, pathways, labels, and access, brought into one maintainable space.</dc:subject>
  <dc:creator>Glass House Technologies</dc:creator>
  <cp:keywords>Physical infrastructure, service specification</cp:keywords>
  <dc:description>generated by python-docx</dc:description>
  <cp:lastModifiedBy>Connor Glass</cp:lastModifiedBy>
  <cp:revision>1</cp:revision>
  <dcterms:created xsi:type="dcterms:W3CDTF">2026-08-24T05:53:00Z</dcterms:created>
  <dcterms:modified xsi:type="dcterms:W3CDTF">2026-08-24T05:53:00Z</dcterms:modified>
  <cp:category/>
</cp:coreProperties>
</file>