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SECURITY</w:t>
      </w:r>
    </w:p>
    <w:p>
      <w:pPr>
        <w:keepNext/>
        <w:spacing w:before="0" w:after="180" w:line="269" w:lineRule="auto"/>
      </w:pPr>
      <w:r>
        <w:rPr>
          <w:rFonts w:ascii="Arial" w:hAnsi="Arial"/>
          <w:b/>
          <w:color w:val="181818"/>
          <w:sz w:val="48"/>
        </w:rPr>
        <w:t>Video surveillance</w:t>
      </w:r>
    </w:p>
    <w:p>
      <w:pPr>
        <w:keepNext w:val="0"/>
        <w:spacing w:before="0" w:after="240" w:line="269" w:lineRule="auto"/>
      </w:pPr>
      <w:r>
        <w:rPr>
          <w:rFonts w:ascii="Arial" w:hAnsi="Arial"/>
          <w:b w:val="0"/>
          <w:color w:val="646464"/>
          <w:sz w:val="17"/>
        </w:rPr>
        <w:t>GHT-SVC-018   •   Revision 1.0   •   06 September 2026   •   1 / 3</w:t>
      </w:r>
    </w:p>
    <w:p>
      <w:pPr>
        <w:keepNext w:val="0"/>
        <w:spacing w:before="0" w:after="180" w:line="269" w:lineRule="auto"/>
      </w:pPr>
      <w:r>
        <w:rPr>
          <w:rFonts w:ascii="Arial" w:hAnsi="Arial"/>
          <w:b w:val="0"/>
          <w:color w:val="181818"/>
          <w:sz w:val="22"/>
        </w:rPr>
        <w:t>Camera placement, lighting, network capacity, recording, retention, permissions, health alerts, and evidence export, designed around the events each view must capture.</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Named camera views with accepted day and night samples, verified recording and retention, tested export, and administrator access.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Video surveillance combines scene objectives, cameras, network transport, recording, time synchronization, retention, user permissions, and evidence export. Resolution alone does not determine usable detail; distance, field of view, motion, lighting, compression, and mounting angle all matter.</w:t>
      </w:r>
    </w:p>
    <w:p>
      <w:pPr>
        <w:keepNext w:val="0"/>
        <w:spacing w:before="0" w:after="120" w:line="269" w:lineRule="auto"/>
      </w:pPr>
      <w:r>
        <w:rPr>
          <w:rFonts w:ascii="Arial" w:hAnsi="Arial"/>
          <w:b w:val="0"/>
          <w:color w:val="181818"/>
          <w:sz w:val="20"/>
        </w:rPr>
        <w:t>The design should also define who may view live or recorded video, how long recordings are retained, what happens when storage or a camera fails, and how exports are documented. Privacy and local notice or recording rules remain the owner’s responsibility and should be reviewed with counsel where needed.</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Scene</w:t>
            </w:r>
          </w:p>
        </w:tc>
        <w:tc>
          <w:tcPr>
            <w:tcW w:type="dxa" w:w="7200"/>
            <w:shd w:fill="F4F1E9"/>
          </w:tcPr>
          <w:p>
            <w:pPr>
              <w:spacing w:before="100" w:after="100"/>
            </w:pPr>
            <w:r>
              <w:rPr>
                <w:rFonts w:ascii="Arial" w:hAnsi="Arial"/>
                <w:sz w:val="18"/>
              </w:rPr>
              <w:t>Purpose, subject size, movement, light, weather, privacy boundary</w:t>
            </w:r>
          </w:p>
        </w:tc>
      </w:tr>
      <w:tr>
        <w:tc>
          <w:tcPr>
            <w:tcW w:type="dxa" w:w="2160"/>
            <w:shd w:fill="FFFFFF"/>
          </w:tcPr>
          <w:p>
            <w:pPr>
              <w:spacing w:before="100" w:after="100"/>
            </w:pPr>
            <w:r>
              <w:rPr>
                <w:rFonts w:ascii="Arial" w:hAnsi="Arial"/>
                <w:b/>
                <w:sz w:val="18"/>
              </w:rPr>
              <w:t>02  Edge</w:t>
            </w:r>
          </w:p>
        </w:tc>
        <w:tc>
          <w:tcPr>
            <w:tcW w:type="dxa" w:w="7200"/>
            <w:shd w:fill="FFFFFF"/>
          </w:tcPr>
          <w:p>
            <w:pPr>
              <w:spacing w:before="100" w:after="100"/>
            </w:pPr>
            <w:r>
              <w:rPr>
                <w:rFonts w:ascii="Arial" w:hAnsi="Arial"/>
                <w:sz w:val="18"/>
              </w:rPr>
              <w:t>Lens, sensor, mount, enclosure, illumination, local analytics</w:t>
            </w:r>
          </w:p>
        </w:tc>
      </w:tr>
      <w:tr>
        <w:tc>
          <w:tcPr>
            <w:tcW w:type="dxa" w:w="2160"/>
            <w:shd w:fill="F4F1E9"/>
          </w:tcPr>
          <w:p>
            <w:pPr>
              <w:spacing w:before="100" w:after="100"/>
            </w:pPr>
            <w:r>
              <w:rPr>
                <w:rFonts w:ascii="Arial" w:hAnsi="Arial"/>
                <w:b/>
                <w:sz w:val="18"/>
              </w:rPr>
              <w:t>03  Transport</w:t>
            </w:r>
          </w:p>
        </w:tc>
        <w:tc>
          <w:tcPr>
            <w:tcW w:type="dxa" w:w="7200"/>
            <w:shd w:fill="F4F1E9"/>
          </w:tcPr>
          <w:p>
            <w:pPr>
              <w:spacing w:before="100" w:after="100"/>
            </w:pPr>
            <w:r>
              <w:rPr>
                <w:rFonts w:ascii="Arial" w:hAnsi="Arial"/>
                <w:sz w:val="18"/>
              </w:rPr>
              <w:t>PoE budget, switching, segmentation, uplinks, time source</w:t>
            </w:r>
          </w:p>
        </w:tc>
      </w:tr>
      <w:tr>
        <w:tc>
          <w:tcPr>
            <w:tcW w:type="dxa" w:w="2160"/>
            <w:shd w:fill="FFFFFF"/>
          </w:tcPr>
          <w:p>
            <w:pPr>
              <w:spacing w:before="100" w:after="100"/>
            </w:pPr>
            <w:r>
              <w:rPr>
                <w:rFonts w:ascii="Arial" w:hAnsi="Arial"/>
                <w:b/>
                <w:sz w:val="18"/>
              </w:rPr>
              <w:t>04  Record and review</w:t>
            </w:r>
          </w:p>
        </w:tc>
        <w:tc>
          <w:tcPr>
            <w:tcW w:type="dxa" w:w="7200"/>
            <w:shd w:fill="FFFFFF"/>
          </w:tcPr>
          <w:p>
            <w:pPr>
              <w:spacing w:before="100" w:after="100"/>
            </w:pPr>
            <w:r>
              <w:rPr>
                <w:rFonts w:ascii="Arial" w:hAnsi="Arial"/>
                <w:sz w:val="18"/>
              </w:rPr>
              <w:t>Storage, retention, permissions, search, export, health monitoring</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Blind spots or images that lack incident detail</w:t>
      </w:r>
    </w:p>
    <w:p>
      <w:pPr>
        <w:keepNext w:val="0"/>
        <w:spacing w:before="0" w:after="100" w:line="269" w:lineRule="auto"/>
        <w:ind w:left="187" w:hanging="187"/>
      </w:pPr>
      <w:r>
        <w:rPr>
          <w:rFonts w:ascii="Arial" w:hAnsi="Arial"/>
          <w:b w:val="0"/>
          <w:color w:val="181818"/>
          <w:sz w:val="20"/>
        </w:rPr>
        <w:t>•  Retention that is unknown or shorter than the investigation cycle</w:t>
      </w:r>
    </w:p>
    <w:p>
      <w:pPr>
        <w:keepNext w:val="0"/>
        <w:spacing w:before="0" w:after="100" w:line="269" w:lineRule="auto"/>
        <w:ind w:left="187" w:hanging="187"/>
      </w:pPr>
      <w:r>
        <w:rPr>
          <w:rFonts w:ascii="Arial" w:hAnsi="Arial"/>
          <w:b w:val="0"/>
          <w:color w:val="181818"/>
          <w:sz w:val="20"/>
        </w:rPr>
        <w:t>•  Slow, inconsistent, or undocumented clip retrieval</w:t>
      </w:r>
    </w:p>
    <w:p>
      <w:pPr>
        <w:keepNext w:val="0"/>
        <w:spacing w:before="0" w:after="100" w:line="269" w:lineRule="auto"/>
        <w:ind w:left="187" w:hanging="187"/>
      </w:pPr>
      <w:r>
        <w:rPr>
          <w:rFonts w:ascii="Arial" w:hAnsi="Arial"/>
          <w:b w:val="0"/>
          <w:color w:val="181818"/>
          <w:sz w:val="20"/>
        </w:rPr>
        <w:t>•  A move from isolated recorders to a managed multi-site platform</w:t>
      </w:r>
    </w:p>
    <w:p>
      <w:r>
        <w:br w:type="page"/>
      </w:r>
    </w:p>
    <w:p>
      <w:pPr>
        <w:keepNext/>
        <w:spacing w:before="1200" w:after="160" w:line="269" w:lineRule="auto"/>
      </w:pPr>
      <w:r>
        <w:rPr>
          <w:rFonts w:ascii="Arial" w:hAnsi="Arial"/>
          <w:b/>
          <w:color w:val="9B792B"/>
          <w:sz w:val="18"/>
        </w:rPr>
        <w:t>GHT-SVC-018 / VIDEO SURVEILLANCE</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Define the evidence question</w:t>
      </w:r>
    </w:p>
    <w:p>
      <w:pPr>
        <w:keepNext w:val="0"/>
        <w:spacing w:before="0" w:after="80" w:line="269" w:lineRule="auto"/>
      </w:pPr>
      <w:r>
        <w:rPr>
          <w:rFonts w:ascii="Arial" w:hAnsi="Arial"/>
          <w:b w:val="0"/>
          <w:color w:val="181818"/>
          <w:sz w:val="20"/>
        </w:rPr>
        <w:t>Walk each scene with the owner, identify the event and subject detail required, and record lighting, privacy, retention, and operator needs.</w:t>
      </w:r>
    </w:p>
    <w:p>
      <w:pPr>
        <w:keepNext w:val="0"/>
        <w:spacing w:before="0" w:after="140" w:line="269" w:lineRule="auto"/>
      </w:pPr>
      <w:r>
        <w:rPr>
          <w:rFonts w:ascii="Arial" w:hAnsi="Arial"/>
          <w:b/>
          <w:color w:val="181818"/>
          <w:sz w:val="18"/>
        </w:rPr>
        <w:t>Acceptance evidence: Annotated view-objective schedule with scene photos, risk notes, and retention assumptions.</w:t>
      </w:r>
    </w:p>
    <w:p>
      <w:pPr>
        <w:keepNext/>
        <w:spacing w:before="200" w:after="120" w:line="269" w:lineRule="auto"/>
      </w:pPr>
      <w:r>
        <w:rPr>
          <w:rFonts w:ascii="Arial" w:hAnsi="Arial"/>
          <w:b/>
          <w:color w:val="9B792B"/>
          <w:sz w:val="24"/>
        </w:rPr>
        <w:t>02  Engineer the recording path</w:t>
      </w:r>
    </w:p>
    <w:p>
      <w:pPr>
        <w:keepNext w:val="0"/>
        <w:spacing w:before="0" w:after="80" w:line="269" w:lineRule="auto"/>
      </w:pPr>
      <w:r>
        <w:rPr>
          <w:rFonts w:ascii="Arial" w:hAnsi="Arial"/>
          <w:b w:val="0"/>
          <w:color w:val="181818"/>
          <w:sz w:val="20"/>
        </w:rPr>
        <w:t>Select lens and placement, estimate bitrate and storage, map PoE and uplinks, and define recording, user, time, and alert settings.</w:t>
      </w:r>
    </w:p>
    <w:p>
      <w:pPr>
        <w:keepNext w:val="0"/>
        <w:spacing w:before="0" w:after="140" w:line="269" w:lineRule="auto"/>
      </w:pPr>
      <w:r>
        <w:rPr>
          <w:rFonts w:ascii="Arial" w:hAnsi="Arial"/>
          <w:b/>
          <w:color w:val="181818"/>
          <w:sz w:val="18"/>
        </w:rPr>
        <w:t>Acceptance evidence: Camera schedule, coverage plan, storage calculation, network dependencies, and permission matrix.</w:t>
      </w:r>
    </w:p>
    <w:p>
      <w:pPr>
        <w:keepNext/>
        <w:spacing w:before="200" w:after="120" w:line="269" w:lineRule="auto"/>
      </w:pPr>
      <w:r>
        <w:rPr>
          <w:rFonts w:ascii="Arial" w:hAnsi="Arial"/>
          <w:b/>
          <w:color w:val="9B792B"/>
          <w:sz w:val="24"/>
        </w:rPr>
        <w:t>03  Install and configure</w:t>
      </w:r>
    </w:p>
    <w:p>
      <w:pPr>
        <w:keepNext w:val="0"/>
        <w:spacing w:before="0" w:after="80" w:line="269" w:lineRule="auto"/>
      </w:pPr>
      <w:r>
        <w:rPr>
          <w:rFonts w:ascii="Arial" w:hAnsi="Arial"/>
          <w:b w:val="0"/>
          <w:color w:val="181818"/>
          <w:sz w:val="20"/>
        </w:rPr>
        <w:t>Mount, focus, label, aim, update, name, and configure recording profiles without blocking egress, maintenance access, or required sightlines.</w:t>
      </w:r>
    </w:p>
    <w:p>
      <w:pPr>
        <w:keepNext w:val="0"/>
        <w:spacing w:before="0" w:after="140" w:line="269" w:lineRule="auto"/>
      </w:pPr>
      <w:r>
        <w:rPr>
          <w:rFonts w:ascii="Arial" w:hAnsi="Arial"/>
          <w:b/>
          <w:color w:val="181818"/>
          <w:sz w:val="18"/>
        </w:rPr>
        <w:t>Acceptance evidence: Device inventory, labeled endpoints, configuration record, and installation photos.</w:t>
      </w:r>
    </w:p>
    <w:p>
      <w:pPr>
        <w:keepNext/>
        <w:spacing w:before="200" w:after="120" w:line="269" w:lineRule="auto"/>
      </w:pPr>
      <w:r>
        <w:rPr>
          <w:rFonts w:ascii="Arial" w:hAnsi="Arial"/>
          <w:b/>
          <w:color w:val="9B792B"/>
          <w:sz w:val="24"/>
        </w:rPr>
        <w:t>04  Prove retrieval</w:t>
      </w:r>
    </w:p>
    <w:p>
      <w:pPr>
        <w:keepNext w:val="0"/>
        <w:spacing w:before="0" w:after="80" w:line="269" w:lineRule="auto"/>
      </w:pPr>
      <w:r>
        <w:rPr>
          <w:rFonts w:ascii="Arial" w:hAnsi="Arial"/>
          <w:b w:val="0"/>
          <w:color w:val="181818"/>
          <w:sz w:val="20"/>
        </w:rPr>
        <w:t>Validate day and night views, motion, time alignment, retention behavior, health alerts, user access, and export on the owner’s real workflow.</w:t>
      </w:r>
    </w:p>
    <w:p>
      <w:pPr>
        <w:keepNext w:val="0"/>
        <w:spacing w:before="0" w:after="140" w:line="269" w:lineRule="auto"/>
      </w:pPr>
      <w:r>
        <w:rPr>
          <w:rFonts w:ascii="Arial" w:hAnsi="Arial"/>
          <w:b/>
          <w:color w:val="181818"/>
          <w:sz w:val="18"/>
        </w:rPr>
        <w:t>Acceptance evidence: Accepted sample clips and stills, export test, retention readout, administrator handoff, and exception list.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Annotated coverage and camera schedule</w:t>
      </w:r>
    </w:p>
    <w:p>
      <w:pPr>
        <w:keepNext w:val="0"/>
        <w:spacing w:before="0" w:after="100" w:line="269" w:lineRule="auto"/>
        <w:ind w:left="187" w:hanging="187"/>
      </w:pPr>
      <w:r>
        <w:rPr>
          <w:rFonts w:ascii="Arial" w:hAnsi="Arial"/>
          <w:b w:val="0"/>
          <w:color w:val="181818"/>
          <w:sz w:val="20"/>
        </w:rPr>
        <w:t>•  Bandwidth, PoE, and storage assumptions</w:t>
      </w:r>
    </w:p>
    <w:p>
      <w:pPr>
        <w:keepNext w:val="0"/>
        <w:spacing w:before="0" w:after="100" w:line="269" w:lineRule="auto"/>
        <w:ind w:left="187" w:hanging="187"/>
      </w:pPr>
      <w:r>
        <w:rPr>
          <w:rFonts w:ascii="Arial" w:hAnsi="Arial"/>
          <w:b w:val="0"/>
          <w:color w:val="181818"/>
          <w:sz w:val="20"/>
        </w:rPr>
        <w:t>•  Named device and recording configuration record</w:t>
      </w:r>
    </w:p>
    <w:p>
      <w:pPr>
        <w:keepNext w:val="0"/>
        <w:spacing w:before="0" w:after="100" w:line="269" w:lineRule="auto"/>
        <w:ind w:left="187" w:hanging="187"/>
      </w:pPr>
      <w:r>
        <w:rPr>
          <w:rFonts w:ascii="Arial" w:hAnsi="Arial"/>
          <w:b w:val="0"/>
          <w:color w:val="181818"/>
          <w:sz w:val="20"/>
        </w:rPr>
        <w:t>•  Day/night acceptance samples and export test</w:t>
      </w:r>
    </w:p>
    <w:p>
      <w:pPr>
        <w:keepNext w:val="0"/>
        <w:spacing w:before="0" w:after="100" w:line="269" w:lineRule="auto"/>
        <w:ind w:left="187" w:hanging="187"/>
      </w:pPr>
      <w:r>
        <w:rPr>
          <w:rFonts w:ascii="Arial" w:hAnsi="Arial"/>
          <w:b w:val="0"/>
          <w:color w:val="181818"/>
          <w:sz w:val="20"/>
        </w:rPr>
        <w:t>•  Administrator guide, asset list, and unresolved exceptions</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GHT-SVC-018 / VIDEO SURVEILLANCE</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View objective and incident type for every location</w:t>
      </w:r>
    </w:p>
    <w:p>
      <w:pPr>
        <w:keepNext w:val="0"/>
        <w:spacing w:before="0" w:after="100" w:line="269" w:lineRule="auto"/>
        <w:ind w:left="187" w:hanging="187"/>
      </w:pPr>
      <w:r>
        <w:rPr>
          <w:rFonts w:ascii="Arial" w:hAnsi="Arial"/>
          <w:b w:val="0"/>
          <w:color w:val="181818"/>
          <w:sz w:val="20"/>
        </w:rPr>
        <w:t>•  Day, night, glare, backlight, weather, and motion conditions</w:t>
      </w:r>
    </w:p>
    <w:p>
      <w:pPr>
        <w:keepNext w:val="0"/>
        <w:spacing w:before="0" w:after="100" w:line="269" w:lineRule="auto"/>
        <w:ind w:left="187" w:hanging="187"/>
      </w:pPr>
      <w:r>
        <w:rPr>
          <w:rFonts w:ascii="Arial" w:hAnsi="Arial"/>
          <w:b w:val="0"/>
          <w:color w:val="181818"/>
          <w:sz w:val="20"/>
        </w:rPr>
        <w:t>•  Retention target and expected review frequency</w:t>
      </w:r>
    </w:p>
    <w:p>
      <w:pPr>
        <w:keepNext w:val="0"/>
        <w:spacing w:before="0" w:after="100" w:line="269" w:lineRule="auto"/>
        <w:ind w:left="187" w:hanging="187"/>
      </w:pPr>
      <w:r>
        <w:rPr>
          <w:rFonts w:ascii="Arial" w:hAnsi="Arial"/>
          <w:b w:val="0"/>
          <w:color w:val="181818"/>
          <w:sz w:val="20"/>
        </w:rPr>
        <w:t>•  Authorized users, locations, and export procedure</w:t>
      </w:r>
    </w:p>
    <w:p>
      <w:pPr>
        <w:keepNext w:val="0"/>
        <w:spacing w:before="0" w:after="100" w:line="269" w:lineRule="auto"/>
        <w:ind w:left="187" w:hanging="187"/>
      </w:pPr>
      <w:r>
        <w:rPr>
          <w:rFonts w:ascii="Arial" w:hAnsi="Arial"/>
          <w:b w:val="0"/>
          <w:color w:val="181818"/>
          <w:sz w:val="20"/>
        </w:rPr>
        <w:t>•  Existing pathways, PoE capacity, uplinks, storage, and time source</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Cameras do not guarantee prevention, identification, or a specific investigative result</w:t>
      </w:r>
    </w:p>
    <w:p>
      <w:pPr>
        <w:keepNext w:val="0"/>
        <w:spacing w:before="0" w:after="100" w:line="269" w:lineRule="auto"/>
        <w:ind w:left="187" w:hanging="187"/>
      </w:pPr>
      <w:r>
        <w:rPr>
          <w:rFonts w:ascii="Arial" w:hAnsi="Arial"/>
          <w:b w:val="0"/>
          <w:color w:val="181818"/>
          <w:sz w:val="20"/>
        </w:rPr>
        <w:t>•  Audio recording, facial recognition, license-plate use, and retention can trigger jurisdiction-specific obligations</w:t>
      </w:r>
    </w:p>
    <w:p>
      <w:pPr>
        <w:keepNext w:val="0"/>
        <w:spacing w:before="0" w:after="100" w:line="269" w:lineRule="auto"/>
        <w:ind w:left="187" w:hanging="187"/>
      </w:pPr>
      <w:r>
        <w:rPr>
          <w:rFonts w:ascii="Arial" w:hAnsi="Arial"/>
          <w:b w:val="0"/>
          <w:color w:val="181818"/>
          <w:sz w:val="20"/>
        </w:rPr>
        <w:t>•  Image usability changes with lighting, distance, motion, obstructions, and maintenance</w:t>
      </w:r>
    </w:p>
    <w:p>
      <w:pPr>
        <w:keepNext w:val="0"/>
        <w:spacing w:before="0" w:after="100" w:line="269" w:lineRule="auto"/>
        <w:ind w:left="187" w:hanging="187"/>
      </w:pPr>
      <w:r>
        <w:rPr>
          <w:rFonts w:ascii="Arial" w:hAnsi="Arial"/>
          <w:b w:val="0"/>
          <w:color w:val="181818"/>
          <w:sz w:val="20"/>
        </w:rPr>
        <w:t>•  Cloud features depend on licensing and available connectivity; local recording depends on protected on-site equipment</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ONVIF — Profiles overview</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Security Industry Association — Data Privacy Code of Practice: Video Surveillance</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800-53 Rev. 5: Security and Privacy Controls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onvif.org/profiles/" TargetMode="External"/><Relationship Id="rId13" Type="http://schemas.openxmlformats.org/officeDocument/2006/relationships/hyperlink" Target="https://www.securityindustry.org/report/data-privacy-code-of-practice-video-surveillance/" TargetMode="External"/><Relationship Id="rId14" Type="http://schemas.openxmlformats.org/officeDocument/2006/relationships/hyperlink" Target="https://csrc.nist.gov/pubs/sp/800/53/r5/upd1/final" TargetMode="External"/><Relationship Id="rId15" Type="http://schemas.openxmlformats.org/officeDocument/2006/relationships/hyperlink" Target="https://ght.network/services/physical-security/video-surveil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surveillance — Service specification</dc:title>
  <dc:subject>Camera placement, lighting, network capacity, recording, retention, permissions, health alerts, and evidence export, designed around the events each view must capture.</dc:subject>
  <dc:creator>Glass House Technologies</dc:creator>
  <cp:keywords>Physical security,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