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DATA CENTER</w:t>
      </w:r>
    </w:p>
    <w:p>
      <w:pPr>
        <w:keepNext/>
        <w:spacing w:before="0" w:after="180" w:line="269" w:lineRule="auto"/>
      </w:pPr>
      <w:r>
        <w:rPr>
          <w:rFonts w:ascii="Arial" w:hAnsi="Arial"/>
          <w:b/>
          <w:color w:val="181818"/>
          <w:sz w:val="48"/>
        </w:rPr>
        <w:t>Data-center white-space build-out</w:t>
      </w:r>
    </w:p>
    <w:p>
      <w:pPr>
        <w:keepNext w:val="0"/>
        <w:spacing w:before="0" w:after="240" w:line="269" w:lineRule="auto"/>
      </w:pPr>
      <w:r>
        <w:rPr>
          <w:rFonts w:ascii="Arial" w:hAnsi="Arial"/>
          <w:b w:val="0"/>
          <w:color w:val="646464"/>
          <w:sz w:val="17"/>
        </w:rPr>
        <w:t>GHT-SVC-009   •   Revision 1.0   •   06 September 2026   •   1 / 3</w:t>
      </w:r>
    </w:p>
    <w:p>
      <w:pPr>
        <w:keepNext w:val="0"/>
        <w:spacing w:before="0" w:after="180" w:line="269" w:lineRule="auto"/>
      </w:pPr>
      <w:r>
        <w:rPr>
          <w:rFonts w:ascii="Arial" w:hAnsi="Arial"/>
          <w:b w:val="0"/>
          <w:color w:val="181818"/>
          <w:sz w:val="22"/>
        </w:rPr>
        <w:t>Racks, pathways, cabling, labels, access, and technology turnover, coordinated with the electrical, cooling, grounding, structural, fire, and security work owned by the responsible trades.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Cabinet positions, pathways, labels, port plans, and open facility dependencies checked against a rack-ready checklist.</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White space is the controlled area occupied by IT cabinets and their supporting distribution. A successful build-out coordinates technology with architectural, structural, electrical, mechanical, fire-protection and security scopes.</w:t>
      </w:r>
    </w:p>
    <w:p>
      <w:pPr>
        <w:keepNext w:val="0"/>
        <w:spacing w:before="0" w:after="120" w:line="269" w:lineRule="auto"/>
      </w:pPr>
      <w:r>
        <w:rPr>
          <w:rFonts w:ascii="Arial" w:hAnsi="Arial"/>
          <w:b w:val="0"/>
          <w:color w:val="181818"/>
          <w:sz w:val="20"/>
        </w:rPr>
        <w:t>GHT’s role is defined at the project boundary: racks, pathways, cabling, labeling, technology coordination and documentation may be included, while licensed facility work is performed by and verified through the designated trades.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Cabinet row</w:t>
            </w:r>
          </w:p>
        </w:tc>
        <w:tc>
          <w:tcPr>
            <w:tcW w:type="dxa" w:w="7200"/>
            <w:shd w:fill="F4F1E9"/>
          </w:tcPr>
          <w:p>
            <w:pPr>
              <w:spacing w:before="100" w:after="100"/>
            </w:pPr>
            <w:r>
              <w:rPr>
                <w:rFonts w:ascii="Arial" w:hAnsi="Arial"/>
                <w:sz w:val="18"/>
              </w:rPr>
              <w:t>Equipment locations, rack units, weight and service clearances</w:t>
            </w:r>
          </w:p>
        </w:tc>
      </w:tr>
      <w:tr>
        <w:tc>
          <w:tcPr>
            <w:tcW w:type="dxa" w:w="2160"/>
            <w:shd w:fill="FFFFFF"/>
          </w:tcPr>
          <w:p>
            <w:pPr>
              <w:spacing w:before="100" w:after="100"/>
            </w:pPr>
            <w:r>
              <w:rPr>
                <w:rFonts w:ascii="Arial" w:hAnsi="Arial"/>
                <w:b/>
                <w:sz w:val="18"/>
              </w:rPr>
              <w:t>02  Connectivity plane</w:t>
            </w:r>
          </w:p>
        </w:tc>
        <w:tc>
          <w:tcPr>
            <w:tcW w:type="dxa" w:w="7200"/>
            <w:shd w:fill="FFFFFF"/>
          </w:tcPr>
          <w:p>
            <w:pPr>
              <w:spacing w:before="100" w:after="100"/>
            </w:pPr>
            <w:r>
              <w:rPr>
                <w:rFonts w:ascii="Arial" w:hAnsi="Arial"/>
                <w:sz w:val="18"/>
              </w:rPr>
              <w:t>Overhead or underfloor pathways and distribution zones</w:t>
            </w:r>
          </w:p>
        </w:tc>
      </w:tr>
      <w:tr>
        <w:tc>
          <w:tcPr>
            <w:tcW w:type="dxa" w:w="2160"/>
            <w:shd w:fill="F4F1E9"/>
          </w:tcPr>
          <w:p>
            <w:pPr>
              <w:spacing w:before="100" w:after="100"/>
            </w:pPr>
            <w:r>
              <w:rPr>
                <w:rFonts w:ascii="Arial" w:hAnsi="Arial"/>
                <w:b/>
                <w:sz w:val="18"/>
              </w:rPr>
              <w:t>03  Facility plane</w:t>
            </w:r>
          </w:p>
        </w:tc>
        <w:tc>
          <w:tcPr>
            <w:tcW w:type="dxa" w:w="7200"/>
            <w:shd w:fill="F4F1E9"/>
          </w:tcPr>
          <w:p>
            <w:pPr>
              <w:spacing w:before="100" w:after="100"/>
            </w:pPr>
            <w:r>
              <w:rPr>
                <w:rFonts w:ascii="Arial" w:hAnsi="Arial"/>
                <w:sz w:val="18"/>
              </w:rPr>
              <w:t>Power, bonding, cooling, fire and structural dependencies</w:t>
            </w:r>
          </w:p>
        </w:tc>
      </w:tr>
      <w:tr>
        <w:tc>
          <w:tcPr>
            <w:tcW w:type="dxa" w:w="2160"/>
            <w:shd w:fill="FFFFFF"/>
          </w:tcPr>
          <w:p>
            <w:pPr>
              <w:spacing w:before="100" w:after="100"/>
            </w:pPr>
            <w:r>
              <w:rPr>
                <w:rFonts w:ascii="Arial" w:hAnsi="Arial"/>
                <w:b/>
                <w:sz w:val="18"/>
              </w:rPr>
              <w:t>04  Operations plane</w:t>
            </w:r>
          </w:p>
        </w:tc>
        <w:tc>
          <w:tcPr>
            <w:tcW w:type="dxa" w:w="7200"/>
            <w:shd w:fill="FFFFFF"/>
          </w:tcPr>
          <w:p>
            <w:pPr>
              <w:spacing w:before="100" w:after="100"/>
            </w:pPr>
            <w:r>
              <w:rPr>
                <w:rFonts w:ascii="Arial" w:hAnsi="Arial"/>
                <w:sz w:val="18"/>
              </w:rPr>
              <w:t>Access, labeling, monitoring and change-control handoff</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New rows or cages are being added</w:t>
      </w:r>
    </w:p>
    <w:p>
      <w:pPr>
        <w:keepNext w:val="0"/>
        <w:spacing w:before="0" w:after="100" w:line="269" w:lineRule="auto"/>
        <w:ind w:left="187" w:hanging="187"/>
      </w:pPr>
      <w:r>
        <w:rPr>
          <w:rFonts w:ascii="Arial" w:hAnsi="Arial"/>
          <w:b w:val="0"/>
          <w:color w:val="181818"/>
          <w:sz w:val="20"/>
        </w:rPr>
        <w:t>•  Power or cooling density changes with a hardware refresh</w:t>
      </w:r>
    </w:p>
    <w:p>
      <w:pPr>
        <w:keepNext w:val="0"/>
        <w:spacing w:before="0" w:after="100" w:line="269" w:lineRule="auto"/>
        <w:ind w:left="187" w:hanging="187"/>
      </w:pPr>
      <w:r>
        <w:rPr>
          <w:rFonts w:ascii="Arial" w:hAnsi="Arial"/>
          <w:b w:val="0"/>
          <w:color w:val="181818"/>
          <w:sz w:val="20"/>
        </w:rPr>
        <w:t>•  Overhead and underfloor routes compete for space</w:t>
      </w:r>
    </w:p>
    <w:p>
      <w:pPr>
        <w:keepNext w:val="0"/>
        <w:spacing w:before="0" w:after="100" w:line="269" w:lineRule="auto"/>
        <w:ind w:left="187" w:hanging="187"/>
      </w:pPr>
      <w:r>
        <w:rPr>
          <w:rFonts w:ascii="Arial" w:hAnsi="Arial"/>
          <w:b w:val="0"/>
          <w:color w:val="181818"/>
          <w:sz w:val="20"/>
        </w:rPr>
        <w:t>•  Cabinet delivery is ahead of documented readiness</w:t>
      </w:r>
    </w:p>
    <w:p>
      <w:r>
        <w:br w:type="page"/>
      </w:r>
    </w:p>
    <w:p>
      <w:pPr>
        <w:keepNext/>
        <w:spacing w:before="1200" w:after="160" w:line="269" w:lineRule="auto"/>
      </w:pPr>
      <w:r>
        <w:rPr>
          <w:rFonts w:ascii="Arial" w:hAnsi="Arial"/>
          <w:b/>
          <w:color w:val="9B792B"/>
          <w:sz w:val="18"/>
        </w:rPr>
        <w:t>GHT-SVC-009 / DATA-CENTER WHITE-SPACE BUILD-OUT</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Basis of design</w:t>
      </w:r>
    </w:p>
    <w:p>
      <w:pPr>
        <w:keepNext w:val="0"/>
        <w:spacing w:before="0" w:after="80" w:line="269" w:lineRule="auto"/>
      </w:pPr>
      <w:r>
        <w:rPr>
          <w:rFonts w:ascii="Arial" w:hAnsi="Arial"/>
          <w:b w:val="0"/>
          <w:color w:val="181818"/>
          <w:sz w:val="20"/>
        </w:rPr>
        <w:t>Confirm cabinet schedule, loads, topology, density, resilience and owner/colo standards.</w:t>
      </w:r>
    </w:p>
    <w:p>
      <w:pPr>
        <w:keepNext w:val="0"/>
        <w:spacing w:before="0" w:after="140" w:line="269" w:lineRule="auto"/>
      </w:pPr>
      <w:r>
        <w:rPr>
          <w:rFonts w:ascii="Arial" w:hAnsi="Arial"/>
          <w:b/>
          <w:color w:val="181818"/>
          <w:sz w:val="18"/>
        </w:rPr>
        <w:t>Acceptance evidence: Requirements matrix and responsibility boundary</w:t>
      </w:r>
    </w:p>
    <w:p>
      <w:pPr>
        <w:keepNext/>
        <w:spacing w:before="200" w:after="120" w:line="269" w:lineRule="auto"/>
      </w:pPr>
      <w:r>
        <w:rPr>
          <w:rFonts w:ascii="Arial" w:hAnsi="Arial"/>
          <w:b/>
          <w:color w:val="9B792B"/>
          <w:sz w:val="24"/>
        </w:rPr>
        <w:t>02  Multidiscipline layout</w:t>
      </w:r>
    </w:p>
    <w:p>
      <w:pPr>
        <w:keepNext w:val="0"/>
        <w:spacing w:before="0" w:after="80" w:line="269" w:lineRule="auto"/>
      </w:pPr>
      <w:r>
        <w:rPr>
          <w:rFonts w:ascii="Arial" w:hAnsi="Arial"/>
          <w:b w:val="0"/>
          <w:color w:val="181818"/>
          <w:sz w:val="20"/>
        </w:rPr>
        <w:t>Coordinate elevations, aisles, clearances, pathways, power feeds, airflow and security zones.</w:t>
      </w:r>
    </w:p>
    <w:p>
      <w:pPr>
        <w:keepNext w:val="0"/>
        <w:spacing w:before="0" w:after="140" w:line="269" w:lineRule="auto"/>
      </w:pPr>
      <w:r>
        <w:rPr>
          <w:rFonts w:ascii="Arial" w:hAnsi="Arial"/>
          <w:b/>
          <w:color w:val="181818"/>
          <w:sz w:val="18"/>
        </w:rPr>
        <w:t>Acceptance evidence: Coordinated rack/pathway plan and issue log</w:t>
      </w:r>
    </w:p>
    <w:p>
      <w:pPr>
        <w:keepNext/>
        <w:spacing w:before="200" w:after="120" w:line="269" w:lineRule="auto"/>
      </w:pPr>
      <w:r>
        <w:rPr>
          <w:rFonts w:ascii="Arial" w:hAnsi="Arial"/>
          <w:b/>
          <w:color w:val="9B792B"/>
          <w:sz w:val="24"/>
        </w:rPr>
        <w:t>03  Install and stage</w:t>
      </w:r>
    </w:p>
    <w:p>
      <w:pPr>
        <w:keepNext w:val="0"/>
        <w:spacing w:before="0" w:after="80" w:line="269" w:lineRule="auto"/>
      </w:pPr>
      <w:r>
        <w:rPr>
          <w:rFonts w:ascii="Arial" w:hAnsi="Arial"/>
          <w:b w:val="0"/>
          <w:color w:val="181818"/>
          <w:sz w:val="20"/>
        </w:rPr>
        <w:t>Set approved technology infrastructure, labels and patching in the agreed construction sequence.</w:t>
      </w:r>
    </w:p>
    <w:p>
      <w:pPr>
        <w:keepNext w:val="0"/>
        <w:spacing w:before="0" w:after="140" w:line="269" w:lineRule="auto"/>
      </w:pPr>
      <w:r>
        <w:rPr>
          <w:rFonts w:ascii="Arial" w:hAnsi="Arial"/>
          <w:b/>
          <w:color w:val="181818"/>
          <w:sz w:val="18"/>
        </w:rPr>
        <w:t>Acceptance evidence: Installation inspection sheets and progress photos</w:t>
      </w:r>
    </w:p>
    <w:p>
      <w:pPr>
        <w:keepNext/>
        <w:spacing w:before="200" w:after="120" w:line="269" w:lineRule="auto"/>
      </w:pPr>
      <w:r>
        <w:rPr>
          <w:rFonts w:ascii="Arial" w:hAnsi="Arial"/>
          <w:b/>
          <w:color w:val="9B792B"/>
          <w:sz w:val="24"/>
        </w:rPr>
        <w:t>04  Readiness turnover</w:t>
      </w:r>
    </w:p>
    <w:p>
      <w:pPr>
        <w:keepNext w:val="0"/>
        <w:spacing w:before="0" w:after="80" w:line="269" w:lineRule="auto"/>
      </w:pPr>
      <w:r>
        <w:rPr>
          <w:rFonts w:ascii="Arial" w:hAnsi="Arial"/>
          <w:b w:val="0"/>
          <w:color w:val="181818"/>
          <w:sz w:val="20"/>
        </w:rPr>
        <w:t>Verify cabinet, path, port, power and facility dependencies before equipment activation.</w:t>
      </w:r>
    </w:p>
    <w:p>
      <w:pPr>
        <w:keepNext w:val="0"/>
        <w:spacing w:before="0" w:after="140" w:line="269" w:lineRule="auto"/>
      </w:pPr>
      <w:r>
        <w:rPr>
          <w:rFonts w:ascii="Arial" w:hAnsi="Arial"/>
          <w:b/>
          <w:color w:val="181818"/>
          <w:sz w:val="18"/>
        </w:rPr>
        <w:t>Acceptance evidence: Rack-ready checklist, as-builts and open-item register</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Coordinated rack and pathway layout</w:t>
      </w:r>
    </w:p>
    <w:p>
      <w:pPr>
        <w:keepNext w:val="0"/>
        <w:spacing w:before="0" w:after="100" w:line="269" w:lineRule="auto"/>
        <w:ind w:left="187" w:hanging="187"/>
      </w:pPr>
      <w:r>
        <w:rPr>
          <w:rFonts w:ascii="Arial" w:hAnsi="Arial"/>
          <w:b w:val="0"/>
          <w:color w:val="181818"/>
          <w:sz w:val="20"/>
        </w:rPr>
        <w:t>•  Cabinet/rack-ready checklist</w:t>
      </w:r>
    </w:p>
    <w:p>
      <w:pPr>
        <w:keepNext w:val="0"/>
        <w:spacing w:before="0" w:after="100" w:line="269" w:lineRule="auto"/>
        <w:ind w:left="187" w:hanging="187"/>
      </w:pPr>
      <w:r>
        <w:rPr>
          <w:rFonts w:ascii="Arial" w:hAnsi="Arial"/>
          <w:b w:val="0"/>
          <w:color w:val="181818"/>
          <w:sz w:val="20"/>
        </w:rPr>
        <w:t>•  Technology responsibility matrix</w:t>
      </w:r>
    </w:p>
    <w:p>
      <w:pPr>
        <w:keepNext w:val="0"/>
        <w:spacing w:before="0" w:after="100" w:line="269" w:lineRule="auto"/>
        <w:ind w:left="187" w:hanging="187"/>
      </w:pPr>
      <w:r>
        <w:rPr>
          <w:rFonts w:ascii="Arial" w:hAnsi="Arial"/>
          <w:b w:val="0"/>
          <w:color w:val="181818"/>
          <w:sz w:val="20"/>
        </w:rPr>
        <w:t>•  Label, port and patching schedule</w:t>
      </w:r>
    </w:p>
    <w:p>
      <w:pPr>
        <w:keepNext w:val="0"/>
        <w:spacing w:before="0" w:after="100" w:line="269" w:lineRule="auto"/>
        <w:ind w:left="187" w:hanging="187"/>
      </w:pPr>
      <w:r>
        <w:rPr>
          <w:rFonts w:ascii="Arial" w:hAnsi="Arial"/>
          <w:b w:val="0"/>
          <w:color w:val="181818"/>
          <w:sz w:val="20"/>
        </w:rPr>
        <w:t>•  As-built elevations, photos and open-item log</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GHT-SVC-009 / DATA-CENTER WHITE-SPACE BUILD-OUT</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Cabinet, rack-unit, weight and delivery schedule</w:t>
      </w:r>
    </w:p>
    <w:p>
      <w:pPr>
        <w:keepNext w:val="0"/>
        <w:spacing w:before="0" w:after="100" w:line="269" w:lineRule="auto"/>
        <w:ind w:left="187" w:hanging="187"/>
      </w:pPr>
      <w:r>
        <w:rPr>
          <w:rFonts w:ascii="Arial" w:hAnsi="Arial"/>
          <w:b w:val="0"/>
          <w:color w:val="181818"/>
          <w:sz w:val="20"/>
        </w:rPr>
        <w:t>•  Power feed, redundancy and load information</w:t>
      </w:r>
    </w:p>
    <w:p>
      <w:pPr>
        <w:keepNext w:val="0"/>
        <w:spacing w:before="0" w:after="100" w:line="269" w:lineRule="auto"/>
        <w:ind w:left="187" w:hanging="187"/>
      </w:pPr>
      <w:r>
        <w:rPr>
          <w:rFonts w:ascii="Arial" w:hAnsi="Arial"/>
          <w:b w:val="0"/>
          <w:color w:val="181818"/>
          <w:sz w:val="20"/>
        </w:rPr>
        <w:t>•  Cooling design and expected IT heat load</w:t>
      </w:r>
    </w:p>
    <w:p>
      <w:pPr>
        <w:keepNext w:val="0"/>
        <w:spacing w:before="0" w:after="100" w:line="269" w:lineRule="auto"/>
        <w:ind w:left="187" w:hanging="187"/>
      </w:pPr>
      <w:r>
        <w:rPr>
          <w:rFonts w:ascii="Arial" w:hAnsi="Arial"/>
          <w:b w:val="0"/>
          <w:color w:val="181818"/>
          <w:sz w:val="20"/>
        </w:rPr>
        <w:t>•  Network topology and cable-density forecast</w:t>
      </w:r>
    </w:p>
    <w:p>
      <w:pPr>
        <w:keepNext w:val="0"/>
        <w:spacing w:before="0" w:after="100" w:line="269" w:lineRule="auto"/>
        <w:ind w:left="187" w:hanging="187"/>
      </w:pPr>
      <w:r>
        <w:rPr>
          <w:rFonts w:ascii="Arial" w:hAnsi="Arial"/>
          <w:b w:val="0"/>
          <w:color w:val="181818"/>
          <w:sz w:val="20"/>
        </w:rPr>
        <w:t>•  Security, fire, access and construction sequence</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Facility work owned by licensed/designated trades</w:t>
      </w:r>
    </w:p>
    <w:p>
      <w:pPr>
        <w:keepNext w:val="0"/>
        <w:spacing w:before="0" w:after="100" w:line="269" w:lineRule="auto"/>
        <w:ind w:left="187" w:hanging="187"/>
      </w:pPr>
      <w:r>
        <w:rPr>
          <w:rFonts w:ascii="Arial" w:hAnsi="Arial"/>
          <w:b w:val="0"/>
          <w:color w:val="181818"/>
          <w:sz w:val="20"/>
        </w:rPr>
        <w:t>•  Floor loading, anchorage and service clearances</w:t>
      </w:r>
    </w:p>
    <w:p>
      <w:pPr>
        <w:keepNext w:val="0"/>
        <w:spacing w:before="0" w:after="100" w:line="269" w:lineRule="auto"/>
        <w:ind w:left="187" w:hanging="187"/>
      </w:pPr>
      <w:r>
        <w:rPr>
          <w:rFonts w:ascii="Arial" w:hAnsi="Arial"/>
          <w:b w:val="0"/>
          <w:color w:val="181818"/>
          <w:sz w:val="20"/>
        </w:rPr>
        <w:t>•  Power/cooling availability and commissioning sequence</w:t>
      </w:r>
    </w:p>
    <w:p>
      <w:pPr>
        <w:keepNext w:val="0"/>
        <w:spacing w:before="0" w:after="100" w:line="269" w:lineRule="auto"/>
        <w:ind w:left="187" w:hanging="187"/>
      </w:pPr>
      <w:r>
        <w:rPr>
          <w:rFonts w:ascii="Arial" w:hAnsi="Arial"/>
          <w:b w:val="0"/>
          <w:color w:val="181818"/>
          <w:sz w:val="20"/>
        </w:rPr>
        <w:t>•  Live-room access, contamination control and change management</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Telecommunications Industry Association — TIA-942: Telecommunications Infrastructure Standard for Data Centers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BICSI — BICSI Library of ICT Manuals and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ASHRAE — Data Center Resources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Telecommunications Industry Association — TIA-569: Telecommunications Pathways and Spaces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iaonline.org/standard/tia-942/" TargetMode="External"/><Relationship Id="rId13" Type="http://schemas.openxmlformats.org/officeDocument/2006/relationships/hyperlink" Target="https://shop.bicsi.org/technical-manuals/bicsi-library" TargetMode="External"/><Relationship Id="rId14" Type="http://schemas.openxmlformats.org/officeDocument/2006/relationships/hyperlink" Target="https://www.ashrae.org/technical-resources/bookstore/datacom-series" TargetMode="External"/><Relationship Id="rId15" Type="http://schemas.openxmlformats.org/officeDocument/2006/relationships/hyperlink" Target="https://tiaonline.org/standard/tia-569/" TargetMode="External"/><Relationship Id="rId16" Type="http://schemas.openxmlformats.org/officeDocument/2006/relationships/hyperlink" Target="https://ght.network/services/data-center/white-space-build-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Data-center white-space build-out — Service specification</dc:title>
  <dc:subject>Racks, pathways, cabling, labels, access, and technology turnover, coordinated with the electrical, cooling, grounding, structural, fire, and security work owned by the responsible trades.</dc:subject>
  <dc:creator>Glass House Technologies</dc:creator>
  <cp:keywords>Data center,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